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737BC" w14:textId="7C46BEFA" w:rsidR="000053FA" w:rsidRPr="000053FA" w:rsidRDefault="000053FA" w:rsidP="002E2816">
      <w:pPr>
        <w:pStyle w:val="af4"/>
        <w:suppressAutoHyphens/>
        <w:spacing w:before="120" w:line="276" w:lineRule="auto"/>
        <w:jc w:val="center"/>
        <w:rPr>
          <w:rFonts w:ascii="Futura PT Book" w:hAnsi="Futura PT Book" w:cs="Times New Roman"/>
          <w:b/>
          <w:color w:val="82324E"/>
          <w:sz w:val="32"/>
          <w:szCs w:val="32"/>
        </w:rPr>
      </w:pPr>
      <w:r w:rsidRPr="000053FA">
        <w:rPr>
          <w:rFonts w:ascii="Futura PT Book" w:hAnsi="Futura PT Book" w:cs="Times New Roman"/>
          <w:b/>
          <w:color w:val="82324E"/>
          <w:sz w:val="32"/>
          <w:szCs w:val="32"/>
        </w:rPr>
        <w:t>Новости законодательства для НКО за январь 2020 года</w:t>
      </w:r>
    </w:p>
    <w:p w14:paraId="47520D80" w14:textId="77777777" w:rsidR="000053FA" w:rsidRPr="000053FA" w:rsidRDefault="000053FA" w:rsidP="001E3850">
      <w:pPr>
        <w:pStyle w:val="af4"/>
        <w:suppressAutoHyphens/>
        <w:spacing w:before="120" w:line="276" w:lineRule="auto"/>
        <w:ind w:firstLine="709"/>
        <w:jc w:val="both"/>
        <w:rPr>
          <w:rFonts w:ascii="Futura PT Book" w:hAnsi="Futura PT Book" w:cs="Times New Roman"/>
          <w:sz w:val="28"/>
          <w:szCs w:val="28"/>
        </w:rPr>
      </w:pPr>
      <w:r w:rsidRPr="000053FA">
        <w:rPr>
          <w:rFonts w:ascii="Futura PT Book" w:hAnsi="Futura PT Book" w:cs="Times New Roman"/>
          <w:sz w:val="28"/>
          <w:szCs w:val="28"/>
        </w:rPr>
        <w:t>В этом выпуске Вы можете прочитать:</w:t>
      </w:r>
    </w:p>
    <w:p w14:paraId="31DCB80D" w14:textId="582F1E3D" w:rsidR="000053FA" w:rsidRPr="000053FA" w:rsidRDefault="000053FA" w:rsidP="001E3850">
      <w:pPr>
        <w:pStyle w:val="af4"/>
        <w:suppressAutoHyphens/>
        <w:spacing w:before="120" w:line="276" w:lineRule="auto"/>
        <w:ind w:firstLine="709"/>
        <w:jc w:val="both"/>
        <w:rPr>
          <w:rFonts w:ascii="Futura PT Book" w:hAnsi="Futura PT Book" w:cs="Times New Roman"/>
          <w:sz w:val="28"/>
          <w:szCs w:val="28"/>
        </w:rPr>
      </w:pPr>
      <w:r w:rsidRPr="000053FA">
        <w:rPr>
          <w:rFonts w:ascii="Futura PT Book" w:hAnsi="Futura PT Book" w:cs="Times New Roman"/>
          <w:sz w:val="28"/>
          <w:szCs w:val="28"/>
        </w:rPr>
        <w:t>- о новых правилах представления годовой бухгалтерской отчетности</w:t>
      </w:r>
      <w:r w:rsidR="00B73AC6">
        <w:rPr>
          <w:rFonts w:ascii="Futura PT Book" w:hAnsi="Futura PT Book" w:cs="Times New Roman"/>
          <w:sz w:val="28"/>
          <w:szCs w:val="28"/>
        </w:rPr>
        <w:t>,</w:t>
      </w:r>
    </w:p>
    <w:p w14:paraId="7B8D884F" w14:textId="22A7FBFA" w:rsidR="000053FA" w:rsidRPr="000053FA" w:rsidRDefault="000053FA" w:rsidP="001E3850">
      <w:pPr>
        <w:pStyle w:val="af4"/>
        <w:suppressAutoHyphens/>
        <w:spacing w:before="120" w:line="276" w:lineRule="auto"/>
        <w:ind w:firstLine="709"/>
        <w:jc w:val="both"/>
        <w:rPr>
          <w:rFonts w:ascii="Futura PT Book" w:hAnsi="Futura PT Book" w:cs="Times New Roman"/>
          <w:sz w:val="28"/>
          <w:szCs w:val="28"/>
        </w:rPr>
      </w:pPr>
      <w:r w:rsidRPr="000053FA">
        <w:rPr>
          <w:rFonts w:ascii="Futura PT Book" w:hAnsi="Futura PT Book" w:cs="Times New Roman"/>
          <w:sz w:val="28"/>
          <w:szCs w:val="28"/>
        </w:rPr>
        <w:t>- об электронных трудовых книжках</w:t>
      </w:r>
      <w:r w:rsidR="00B73AC6">
        <w:rPr>
          <w:rFonts w:ascii="Futura PT Book" w:hAnsi="Futura PT Book" w:cs="Times New Roman"/>
          <w:sz w:val="28"/>
          <w:szCs w:val="28"/>
        </w:rPr>
        <w:t>,</w:t>
      </w:r>
    </w:p>
    <w:p w14:paraId="7FB34ABD" w14:textId="217A7C4A" w:rsidR="000053FA" w:rsidRPr="000053FA" w:rsidRDefault="000053FA" w:rsidP="001E3850">
      <w:pPr>
        <w:pStyle w:val="af4"/>
        <w:suppressAutoHyphens/>
        <w:spacing w:before="120" w:line="276" w:lineRule="auto"/>
        <w:ind w:firstLine="709"/>
        <w:jc w:val="both"/>
        <w:rPr>
          <w:rFonts w:ascii="Futura PT Book" w:hAnsi="Futura PT Book" w:cs="Times New Roman"/>
          <w:sz w:val="28"/>
          <w:szCs w:val="28"/>
        </w:rPr>
      </w:pPr>
      <w:r w:rsidRPr="000053FA">
        <w:rPr>
          <w:rFonts w:ascii="Futura PT Book" w:hAnsi="Futura PT Book" w:cs="Times New Roman"/>
          <w:sz w:val="28"/>
          <w:szCs w:val="28"/>
        </w:rPr>
        <w:t>- об изменениях в порядке представления расчетов по страховым взносам и отдельных вопросах исчисления страховых взносов</w:t>
      </w:r>
      <w:r w:rsidR="00B73AC6">
        <w:rPr>
          <w:rFonts w:ascii="Futura PT Book" w:hAnsi="Futura PT Book" w:cs="Times New Roman"/>
          <w:sz w:val="28"/>
          <w:szCs w:val="28"/>
        </w:rPr>
        <w:t>,</w:t>
      </w:r>
    </w:p>
    <w:p w14:paraId="1C47213C" w14:textId="3DD12C20" w:rsidR="000053FA" w:rsidRPr="000053FA" w:rsidRDefault="000053FA" w:rsidP="001E3850">
      <w:pPr>
        <w:pStyle w:val="af4"/>
        <w:suppressAutoHyphens/>
        <w:spacing w:before="120" w:line="276" w:lineRule="auto"/>
        <w:ind w:firstLine="709"/>
        <w:jc w:val="both"/>
        <w:rPr>
          <w:rFonts w:ascii="Futura PT Book" w:hAnsi="Futura PT Book" w:cs="Times New Roman"/>
          <w:sz w:val="28"/>
          <w:szCs w:val="28"/>
        </w:rPr>
      </w:pPr>
      <w:r w:rsidRPr="000053FA">
        <w:rPr>
          <w:rFonts w:ascii="Futura PT Book" w:hAnsi="Futura PT Book" w:cs="Times New Roman"/>
          <w:sz w:val="28"/>
          <w:szCs w:val="28"/>
        </w:rPr>
        <w:t>- о развитии законодательства в сфере добровольчества (волонтерства)</w:t>
      </w:r>
      <w:r w:rsidR="007B491A">
        <w:rPr>
          <w:rFonts w:ascii="Futura PT Book" w:hAnsi="Futura PT Book" w:cs="Times New Roman"/>
          <w:sz w:val="28"/>
          <w:szCs w:val="28"/>
        </w:rPr>
        <w:t>,</w:t>
      </w:r>
    </w:p>
    <w:p w14:paraId="6FD2B5EA" w14:textId="1C96AA3C" w:rsidR="000053FA" w:rsidRPr="000053FA" w:rsidRDefault="000053FA" w:rsidP="001E3850">
      <w:pPr>
        <w:pStyle w:val="af4"/>
        <w:suppressAutoHyphens/>
        <w:spacing w:before="120" w:line="276" w:lineRule="auto"/>
        <w:ind w:firstLine="709"/>
        <w:jc w:val="both"/>
        <w:rPr>
          <w:rFonts w:ascii="Futura PT Book" w:hAnsi="Futura PT Book" w:cs="Times New Roman"/>
          <w:sz w:val="28"/>
          <w:szCs w:val="28"/>
        </w:rPr>
      </w:pPr>
      <w:r w:rsidRPr="000053FA">
        <w:rPr>
          <w:rFonts w:ascii="Futura PT Book" w:hAnsi="Futura PT Book" w:cs="Times New Roman"/>
          <w:sz w:val="28"/>
          <w:szCs w:val="28"/>
        </w:rPr>
        <w:t>- о планируемых изменениях законодательства</w:t>
      </w:r>
      <w:r w:rsidR="007B491A">
        <w:rPr>
          <w:rFonts w:ascii="Futura PT Book" w:hAnsi="Futura PT Book" w:cs="Times New Roman"/>
          <w:sz w:val="28"/>
          <w:szCs w:val="28"/>
        </w:rPr>
        <w:t>.</w:t>
      </w:r>
    </w:p>
    <w:p w14:paraId="0199B7EA" w14:textId="77777777" w:rsidR="000053FA" w:rsidRPr="000053FA" w:rsidRDefault="000053FA" w:rsidP="001E3850">
      <w:pPr>
        <w:pStyle w:val="af4"/>
        <w:suppressAutoHyphens/>
        <w:spacing w:before="120" w:line="276" w:lineRule="auto"/>
        <w:ind w:firstLine="709"/>
        <w:jc w:val="both"/>
        <w:rPr>
          <w:rFonts w:ascii="Futura PT Book" w:hAnsi="Futura PT Book" w:cs="Times New Roman"/>
          <w:sz w:val="28"/>
          <w:szCs w:val="28"/>
        </w:rPr>
      </w:pPr>
    </w:p>
    <w:p w14:paraId="013140B0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/>
          <w:sz w:val="28"/>
          <w:szCs w:val="28"/>
        </w:rPr>
      </w:pPr>
      <w:r w:rsidRPr="000053FA">
        <w:rPr>
          <w:rFonts w:ascii="Futura PT Book" w:hAnsi="Futura PT Book"/>
          <w:b/>
          <w:sz w:val="28"/>
          <w:szCs w:val="28"/>
        </w:rPr>
        <w:t>О новых правилах представления годовой бухгалтерской отчетности</w:t>
      </w:r>
    </w:p>
    <w:p w14:paraId="598B47A6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  <w:r w:rsidRPr="000053FA">
        <w:rPr>
          <w:rFonts w:ascii="Futura PT Book" w:hAnsi="Futura PT Book"/>
          <w:bCs/>
          <w:sz w:val="28"/>
          <w:szCs w:val="28"/>
        </w:rPr>
        <w:t>Начиная с 2020 года (с отчета за 2019 год), годовую бухгалтерскую (финансовую) отчетность некоммерческие организации обязаны представлять только в налоговый орган по месту своего нахождения (обязанность направления бухгалтерской отчетности в Росстат отменена</w:t>
      </w:r>
      <w:r w:rsidRPr="000053FA">
        <w:rPr>
          <w:rFonts w:ascii="Futura PT Book" w:hAnsi="Futura PT Book"/>
          <w:bCs/>
          <w:sz w:val="28"/>
          <w:szCs w:val="28"/>
        </w:rPr>
        <w:footnoteReference w:customMarkFollows="1" w:id="1"/>
        <w:sym w:font="Symbol" w:char="F02A"/>
      </w:r>
      <w:r w:rsidRPr="000053FA">
        <w:rPr>
          <w:rFonts w:ascii="Futura PT Book" w:hAnsi="Futura PT Book"/>
          <w:bCs/>
          <w:sz w:val="28"/>
          <w:szCs w:val="28"/>
        </w:rPr>
        <w:t>) и только по телекоммуникационным каналам связи через оператора электронного документооборота (представление отчетности на бумажном носителе не будет считаться надлежащим).</w:t>
      </w:r>
    </w:p>
    <w:p w14:paraId="4F489AFB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  <w:r w:rsidRPr="000053FA">
        <w:rPr>
          <w:rFonts w:ascii="Futura PT Book" w:hAnsi="Futura PT Book"/>
          <w:bCs/>
          <w:sz w:val="28"/>
          <w:szCs w:val="28"/>
        </w:rPr>
        <w:t>Годовая бухгалтерская (финансовая) отчетность некоммерческих организаций, состоящая из бухгалтерского баланса, отчета о прибылях и убытках и отчета о целевом использовании денежных средств, представляется один раз в год в срок не позднее 31 марта года, следующего за отчетным годом.</w:t>
      </w:r>
    </w:p>
    <w:p w14:paraId="2F6E8173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  <w:r w:rsidRPr="000053FA">
        <w:rPr>
          <w:rFonts w:ascii="Futura PT Book" w:hAnsi="Futura PT Book"/>
          <w:bCs/>
          <w:sz w:val="28"/>
          <w:szCs w:val="28"/>
        </w:rPr>
        <w:t xml:space="preserve">НКО, подлежащие обязательному аудиту, представляют аудиторское заключение вместе с годовой бухгалтерской отчетностью, либо в течение 10 </w:t>
      </w:r>
      <w:r w:rsidRPr="000053FA">
        <w:rPr>
          <w:rFonts w:ascii="Futura PT Book" w:hAnsi="Futura PT Book"/>
          <w:bCs/>
          <w:sz w:val="28"/>
          <w:szCs w:val="28"/>
        </w:rPr>
        <w:lastRenderedPageBreak/>
        <w:t>рабочих дней со дня, следующего за датой аудиторского заключения, но не позднее 31 декабря года, следующего за отчетным годом.</w:t>
      </w:r>
    </w:p>
    <w:p w14:paraId="3D68F2B1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  <w:r w:rsidRPr="000053FA">
        <w:rPr>
          <w:rFonts w:ascii="Futura PT Book" w:hAnsi="Futura PT Book"/>
          <w:bCs/>
          <w:sz w:val="28"/>
          <w:szCs w:val="28"/>
        </w:rPr>
        <w:t>Форматы представления экземпляра годовой бухгалтерской отчетности, в том числе составленной упрощенной отчетности, утверждены приказом ФНС от 13.11.2019 № ММВ-7-1/570@. Порядок представления экземпляра составленной годовой бухгалтерской отчетности и аудиторского заключения о ней утвержден приказом ФНС от 13.11.2019 № ММВ-7-1/569@.</w:t>
      </w:r>
    </w:p>
    <w:p w14:paraId="7E3348F0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  <w:r w:rsidRPr="000053FA">
        <w:rPr>
          <w:rFonts w:ascii="Futura PT Book" w:hAnsi="Futura PT Book"/>
          <w:bCs/>
          <w:sz w:val="28"/>
          <w:szCs w:val="28"/>
        </w:rPr>
        <w:t>Бухгалтерская отчетность НКО теперь считается составленной как с момента подписания руководителем ее бумажного экземпляра, так и с момента подписания ее электронной версии электронной подписью.</w:t>
      </w:r>
    </w:p>
    <w:p w14:paraId="10821AD3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  <w:r w:rsidRPr="000053FA">
        <w:rPr>
          <w:rFonts w:ascii="Futura PT Book" w:hAnsi="Futura PT Book"/>
          <w:bCs/>
          <w:sz w:val="28"/>
          <w:szCs w:val="28"/>
        </w:rPr>
        <w:t>За нарушение правил представления бухгалтерской отчетности, например, ее непредставление, отказ от представления, представление в неполном объеме или в искаженном виде предусмотрена налоговая и административная ответственность.</w:t>
      </w:r>
    </w:p>
    <w:p w14:paraId="6A4BB909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  <w:r w:rsidRPr="000053FA">
        <w:rPr>
          <w:rFonts w:ascii="Futura PT Book" w:hAnsi="Futura PT Book"/>
          <w:bCs/>
          <w:sz w:val="28"/>
          <w:szCs w:val="28"/>
        </w:rPr>
        <w:t xml:space="preserve">Ответственность установлена в виде штрафа </w:t>
      </w:r>
    </w:p>
    <w:p w14:paraId="76068ACC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  <w:r w:rsidRPr="000053FA">
        <w:rPr>
          <w:rFonts w:ascii="Futura PT Book" w:hAnsi="Futura PT Book"/>
          <w:bCs/>
          <w:sz w:val="28"/>
          <w:szCs w:val="28"/>
        </w:rPr>
        <w:t>- на организацию в размере 200 руб. за каждую непредставленную форму (пп. 5.1 п. 1 ст. 23, п. 1 ст. 126 НК РФ),</w:t>
      </w:r>
    </w:p>
    <w:p w14:paraId="7407AFF7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  <w:r w:rsidRPr="000053FA">
        <w:rPr>
          <w:rFonts w:ascii="Futura PT Book" w:hAnsi="Futura PT Book"/>
          <w:bCs/>
          <w:sz w:val="28"/>
          <w:szCs w:val="28"/>
        </w:rPr>
        <w:t xml:space="preserve">- на должностных лиц организации в размере от 300 до 500 руб. (ч. 1 ст. 15.6 КоАП РФ). </w:t>
      </w:r>
    </w:p>
    <w:p w14:paraId="65F67A4F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  <w:r w:rsidRPr="000053FA">
        <w:rPr>
          <w:rFonts w:ascii="Futura PT Book" w:hAnsi="Futura PT Book"/>
          <w:bCs/>
          <w:sz w:val="28"/>
          <w:szCs w:val="28"/>
        </w:rPr>
        <w:t>Уплата штрафа не освобождает от необходимости представить бухгалтерскую отчетность в налоговую инспекцию (ч. 4 ст. 4.1 КоАП РФ).</w:t>
      </w:r>
    </w:p>
    <w:p w14:paraId="3BBF11F9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  <w:r w:rsidRPr="000053FA">
        <w:rPr>
          <w:rFonts w:ascii="Futura PT Book" w:hAnsi="Futura PT Book"/>
          <w:bCs/>
          <w:sz w:val="28"/>
          <w:szCs w:val="28"/>
        </w:rPr>
        <w:t>Обращаем Ваше внимание, что некоммерческие организации, независимо от объема доходов, не являются субъектами малого предпринимательства, которые начнут сдавать годовую бухгалтерскую отчетность в электронном виде в 2021 году за 2020 год.</w:t>
      </w:r>
    </w:p>
    <w:p w14:paraId="2C215F2A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</w:p>
    <w:p w14:paraId="174CA2B4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/>
          <w:sz w:val="28"/>
          <w:szCs w:val="28"/>
        </w:rPr>
      </w:pPr>
      <w:r w:rsidRPr="000053FA">
        <w:rPr>
          <w:rFonts w:ascii="Futura PT Book" w:hAnsi="Futura PT Book"/>
          <w:b/>
          <w:sz w:val="28"/>
          <w:szCs w:val="28"/>
        </w:rPr>
        <w:t>Об электронных трудовых книжках</w:t>
      </w:r>
    </w:p>
    <w:p w14:paraId="720AA210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  <w:r w:rsidRPr="000053FA">
        <w:rPr>
          <w:rFonts w:ascii="Futura PT Book" w:hAnsi="Futura PT Book"/>
          <w:bCs/>
          <w:sz w:val="28"/>
          <w:szCs w:val="28"/>
        </w:rPr>
        <w:t>Федеральный закон от 16.12.2019 N 439-ФЗ «О внесении изменений в Трудовой кодекс Российской Федерации в части формирования сведений о трудовой деятельности в электронном виде» вступил в силу с 01 января 2020 года. Изменения, внесенные в Трудовой кодекс, в полной мере распространяются на некоммерческие организации.</w:t>
      </w:r>
    </w:p>
    <w:p w14:paraId="1CF83561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  <w:r w:rsidRPr="000053FA">
        <w:rPr>
          <w:rFonts w:ascii="Futura PT Book" w:hAnsi="Futura PT Book"/>
          <w:bCs/>
          <w:sz w:val="28"/>
          <w:szCs w:val="28"/>
        </w:rPr>
        <w:lastRenderedPageBreak/>
        <w:t>Теперь любой работодатель формирует в электронном виде основную информацию о трудовой деятельности и трудовом стаже каждого работника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14:paraId="79247D90" w14:textId="0B8AB20E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  <w:r w:rsidRPr="000053FA">
        <w:rPr>
          <w:rFonts w:ascii="Futura PT Book" w:hAnsi="Futura PT Book"/>
          <w:bCs/>
          <w:sz w:val="28"/>
          <w:szCs w:val="28"/>
        </w:rPr>
        <w:t>В сведения о трудовой деятельности включаются</w:t>
      </w:r>
      <w:r w:rsidR="002E2816">
        <w:rPr>
          <w:rFonts w:ascii="Futura PT Book" w:hAnsi="Futura PT Book"/>
          <w:bCs/>
          <w:sz w:val="28"/>
          <w:szCs w:val="28"/>
        </w:rPr>
        <w:t>,</w:t>
      </w:r>
      <w:r w:rsidRPr="000053FA">
        <w:rPr>
          <w:rFonts w:ascii="Futura PT Book" w:hAnsi="Futura PT Book"/>
          <w:bCs/>
          <w:sz w:val="28"/>
          <w:szCs w:val="28"/>
        </w:rPr>
        <w:t xml:space="preserve"> в том числе</w:t>
      </w:r>
      <w:r w:rsidR="002E2816">
        <w:rPr>
          <w:rFonts w:ascii="Futura PT Book" w:hAnsi="Futura PT Book"/>
          <w:bCs/>
          <w:sz w:val="28"/>
          <w:szCs w:val="28"/>
        </w:rPr>
        <w:t>,</w:t>
      </w:r>
      <w:r w:rsidRPr="000053FA">
        <w:rPr>
          <w:rFonts w:ascii="Futura PT Book" w:hAnsi="Futura PT Book"/>
          <w:bCs/>
          <w:sz w:val="28"/>
          <w:szCs w:val="28"/>
        </w:rPr>
        <w:t xml:space="preserve">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договора.</w:t>
      </w:r>
    </w:p>
    <w:p w14:paraId="07F1E76A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</w:p>
    <w:p w14:paraId="664788C6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/>
          <w:sz w:val="28"/>
          <w:szCs w:val="28"/>
        </w:rPr>
      </w:pPr>
      <w:r w:rsidRPr="000053FA">
        <w:rPr>
          <w:rFonts w:ascii="Futura PT Book" w:hAnsi="Futura PT Book"/>
          <w:b/>
          <w:sz w:val="28"/>
          <w:szCs w:val="28"/>
        </w:rPr>
        <w:t>Об изменениях в порядке представления расчетов по страховым взносам и отдельных вопросах исчисления страховых взносов</w:t>
      </w:r>
    </w:p>
    <w:p w14:paraId="615707C4" w14:textId="62DD7A4E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  <w:r w:rsidRPr="000053FA">
        <w:rPr>
          <w:rFonts w:ascii="Futura PT Book" w:hAnsi="Futura PT Book"/>
          <w:bCs/>
          <w:sz w:val="28"/>
          <w:szCs w:val="28"/>
        </w:rPr>
        <w:t xml:space="preserve">В соответствии с изменениями, внесенными Федеральным законом от 29.09.2019 № 325-ФЗ в пункт 10 статьи 431 Налогового кодекса РФ (далее – НК РФ), снижен критерий численности работников, при котором расчет по страховым взносам плательщикам нужно подавать только в электронной форме. С 01 января 2020 года расчеты по страховым взносам в налоговый орган в электронной форме с использованием усиленной квалифицированной электронной подписи по телекоммуникационным каналам связи обязаны представлять плательщики страховых взносов, у которых численность физических лиц за текущий отчетный (расчетный) период, в пользу которых начислены выплаты и иные вознаграждения, превышает 10 человек (ранее - среднесписочная численность физических лиц, в пользу которых осуществлены выплаты за прошедший расчетный (отчетный) период, составляла - более 25 человек). </w:t>
      </w:r>
    </w:p>
    <w:p w14:paraId="62D1E35C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  <w:r w:rsidRPr="000053FA">
        <w:rPr>
          <w:rFonts w:ascii="Futura PT Book" w:hAnsi="Futura PT Book"/>
          <w:bCs/>
          <w:sz w:val="28"/>
          <w:szCs w:val="28"/>
        </w:rPr>
        <w:t xml:space="preserve">При численности до 10 человек (включительно) плательщики, в том числе вновь созданные организации, сами должны принять решение представлять им расчет в электронной форме или на бумажном носителе. </w:t>
      </w:r>
    </w:p>
    <w:p w14:paraId="290C359D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  <w:r w:rsidRPr="000053FA">
        <w:rPr>
          <w:rFonts w:ascii="Futura PT Book" w:hAnsi="Futura PT Book"/>
          <w:bCs/>
          <w:sz w:val="28"/>
          <w:szCs w:val="28"/>
        </w:rPr>
        <w:t>Указанные положения ст. 431 НК РФ применяются к правоотношениям, возникшим с 01 января 2020 года, то есть к представлению плательщиками страховых взносов расчетов по страховым взносам начиная с расчетного периода по итогам 2019 года.</w:t>
      </w:r>
    </w:p>
    <w:p w14:paraId="54717ECF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  <w:r w:rsidRPr="000053FA">
        <w:rPr>
          <w:rFonts w:ascii="Futura PT Book" w:hAnsi="Futura PT Book"/>
          <w:bCs/>
          <w:sz w:val="28"/>
          <w:szCs w:val="28"/>
        </w:rPr>
        <w:lastRenderedPageBreak/>
        <w:t>За нарушение способа подачи расчета (если плательщик предоставил его на бумажном носителе, а обязан был предоставить в электронной форме) предусмотрен штраф в размере 200 руб. (ст. 119.1 НК РФ).</w:t>
      </w:r>
    </w:p>
    <w:p w14:paraId="5730DDE2" w14:textId="12FE03F1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  <w:r w:rsidRPr="000053FA">
        <w:rPr>
          <w:rFonts w:ascii="Futura PT Book" w:hAnsi="Futura PT Book"/>
          <w:bCs/>
          <w:sz w:val="28"/>
          <w:szCs w:val="28"/>
        </w:rPr>
        <w:t>Приказом ФНС России от 18.09.2019 № ММВ-7-11/470@ утверждена новая форма расчета по страховым взносам и Порядок ее заполнения. По новой форме расчеты по страховым взносам должны представляться</w:t>
      </w:r>
      <w:r w:rsidR="002E2816" w:rsidRPr="002E2816">
        <w:rPr>
          <w:rFonts w:ascii="Futura PT Book" w:hAnsi="Futura PT Book"/>
          <w:bCs/>
          <w:sz w:val="28"/>
          <w:szCs w:val="28"/>
        </w:rPr>
        <w:t xml:space="preserve"> </w:t>
      </w:r>
      <w:r w:rsidR="002E2816" w:rsidRPr="000053FA">
        <w:rPr>
          <w:rFonts w:ascii="Futura PT Book" w:hAnsi="Futura PT Book"/>
          <w:bCs/>
          <w:sz w:val="28"/>
          <w:szCs w:val="28"/>
        </w:rPr>
        <w:t>плательщиками</w:t>
      </w:r>
      <w:r w:rsidRPr="000053FA">
        <w:rPr>
          <w:rFonts w:ascii="Futura PT Book" w:hAnsi="Futura PT Book"/>
          <w:bCs/>
          <w:sz w:val="28"/>
          <w:szCs w:val="28"/>
        </w:rPr>
        <w:t>, начиная с отчета за первый квартал 2020 года.</w:t>
      </w:r>
    </w:p>
    <w:p w14:paraId="08BD012B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  <w:r w:rsidRPr="000053FA">
        <w:rPr>
          <w:rFonts w:ascii="Futura PT Book" w:hAnsi="Futura PT Book"/>
          <w:bCs/>
          <w:sz w:val="28"/>
          <w:szCs w:val="28"/>
        </w:rPr>
        <w:t>Для плательщиков страховых взносов, не осуществлявших деятельность или не производивших выплаты своим работникам, порядок заполнения новой формы расчета по страховым взносам упрощен. Если плательщик в последние три месяца расчетного (отчетного периода) фактически не осуществлял выплаты и иные вознаграждения в пользу физических лиц, то в этом случае ему необходимо заполнить только титульный лист, раздел 1 с указанием «Тип плательщика» без приложений и раздел 3 (п. 4.2 Порядка заполнения расчета по страховым взносам).</w:t>
      </w:r>
    </w:p>
    <w:p w14:paraId="55E28ED5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  <w:r w:rsidRPr="000053FA">
        <w:rPr>
          <w:rFonts w:ascii="Futura PT Book" w:hAnsi="Futura PT Book"/>
          <w:bCs/>
          <w:sz w:val="28"/>
          <w:szCs w:val="28"/>
        </w:rPr>
        <w:t xml:space="preserve">Постановлением Правительства Российской Федерации от 06.11.2019 № 1407 увеличены предельные величины базы по страховым взносам. С 01 января 2020 года предельная величина базы по страховым взносам на обязательное пенсионное страхование составила 1 292 000 руб. в отношении каждого физического лица. Базовый тариф в пределах установленной величины не изменился - 22 %, свыше этой величины – 10 %. </w:t>
      </w:r>
    </w:p>
    <w:p w14:paraId="6F8E74C4" w14:textId="6190B6E0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  <w:r w:rsidRPr="000053FA">
        <w:rPr>
          <w:rFonts w:ascii="Futura PT Book" w:hAnsi="Futura PT Book"/>
          <w:bCs/>
          <w:sz w:val="28"/>
          <w:szCs w:val="28"/>
        </w:rPr>
        <w:t xml:space="preserve">Для страховых взносов на обязательное социальное страхование на случай временной нетрудоспособности и в связи с материнством предельная величина составила 912 000 руб. в отношении каждого физического лица. Тариф в пределах указанной величины остался прежним и составляет 2,9 %, сверх этой величины </w:t>
      </w:r>
      <w:r w:rsidR="002E2816">
        <w:rPr>
          <w:rFonts w:ascii="Futura PT Book" w:hAnsi="Futura PT Book"/>
          <w:bCs/>
          <w:sz w:val="28"/>
          <w:szCs w:val="28"/>
        </w:rPr>
        <w:t xml:space="preserve">тариф </w:t>
      </w:r>
      <w:r w:rsidRPr="000053FA">
        <w:rPr>
          <w:rFonts w:ascii="Futura PT Book" w:hAnsi="Futura PT Book"/>
          <w:bCs/>
          <w:sz w:val="28"/>
          <w:szCs w:val="28"/>
        </w:rPr>
        <w:t>не установлен, т.е. взнос сверх предельной величины не исчисляется.</w:t>
      </w:r>
    </w:p>
    <w:p w14:paraId="472278EA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  <w:r w:rsidRPr="000053FA">
        <w:rPr>
          <w:rFonts w:ascii="Futura PT Book" w:hAnsi="Futura PT Book"/>
          <w:bCs/>
          <w:sz w:val="28"/>
          <w:szCs w:val="28"/>
        </w:rPr>
        <w:t xml:space="preserve">Страховые взносы на обязательное медицинское страхование уплачиваются в 2020 году (как и в 2019 году) без применения предельной величины базы, т. е. со всех выплат независимо от их размера в общем случае по тарифу 5,1 %. </w:t>
      </w:r>
    </w:p>
    <w:p w14:paraId="108590A3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  <w:r w:rsidRPr="000053FA">
        <w:rPr>
          <w:rFonts w:ascii="Futura PT Book" w:hAnsi="Futura PT Book"/>
          <w:bCs/>
          <w:sz w:val="28"/>
          <w:szCs w:val="28"/>
        </w:rPr>
        <w:t xml:space="preserve">Плательщики страховых взносов, применяющие пониженные тарифы страховых взносов в соответствии со ст. 427 НК РФ, страховые взносы на </w:t>
      </w:r>
      <w:r w:rsidRPr="000053FA">
        <w:rPr>
          <w:rFonts w:ascii="Futura PT Book" w:hAnsi="Futura PT Book"/>
          <w:bCs/>
          <w:sz w:val="28"/>
          <w:szCs w:val="28"/>
        </w:rPr>
        <w:lastRenderedPageBreak/>
        <w:t>обязательное пенсионное страхование по тарифу 10% с сумм выплат физическим лицам, превышающих предельную величину базы для исчисления страховых взносов по данному виду страхования, не исчисляют и не уплачивают (письмо Минфина России от 13.08.2019 № 03-15-06/61097).</w:t>
      </w:r>
    </w:p>
    <w:p w14:paraId="6F0A78B5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  <w:r w:rsidRPr="000053FA">
        <w:rPr>
          <w:rFonts w:ascii="Futura PT Book" w:hAnsi="Futura PT Book"/>
          <w:bCs/>
          <w:sz w:val="28"/>
          <w:szCs w:val="28"/>
        </w:rPr>
        <w:t>Обращаем внимание на то, что некоммерческие организации и благотворительные организации, указанные в пп. 7 и 8 п. 1 ст. 427 НК РФ, применяющие упрощенную систему налогообложения, применять пониженные тарифы страховых взносов в 2019-2024 годах могут только при выполнении всех условий, установленных в НК РФ.</w:t>
      </w:r>
    </w:p>
    <w:p w14:paraId="7FC59A22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</w:p>
    <w:p w14:paraId="5AB6F739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/>
          <w:sz w:val="28"/>
          <w:szCs w:val="28"/>
        </w:rPr>
      </w:pPr>
      <w:r w:rsidRPr="000053FA">
        <w:rPr>
          <w:rFonts w:ascii="Futura PT Book" w:hAnsi="Futura PT Book"/>
          <w:b/>
          <w:sz w:val="28"/>
          <w:szCs w:val="28"/>
        </w:rPr>
        <w:t>О развитии законодательства в сфере добровольчества (волонтерства)</w:t>
      </w:r>
    </w:p>
    <w:p w14:paraId="38371CB3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  <w:r w:rsidRPr="000053FA">
        <w:rPr>
          <w:rFonts w:ascii="Futura PT Book" w:hAnsi="Futura PT Book"/>
          <w:bCs/>
          <w:sz w:val="28"/>
          <w:szCs w:val="28"/>
        </w:rPr>
        <w:t xml:space="preserve">Правительство утвердило </w:t>
      </w:r>
      <w:hyperlink r:id="rId11" w:history="1">
        <w:r w:rsidRPr="000053FA">
          <w:rPr>
            <w:rStyle w:val="a3"/>
            <w:rFonts w:ascii="Futura PT Book" w:hAnsi="Futura PT Book"/>
            <w:bCs/>
            <w:sz w:val="28"/>
            <w:szCs w:val="28"/>
          </w:rPr>
          <w:t>Положение</w:t>
        </w:r>
      </w:hyperlink>
      <w:r w:rsidRPr="000053FA">
        <w:rPr>
          <w:rFonts w:ascii="Futura PT Book" w:hAnsi="Futura PT Book"/>
          <w:bCs/>
          <w:sz w:val="28"/>
          <w:szCs w:val="28"/>
        </w:rPr>
        <w:t xml:space="preserve"> об особенностях участия добровольцев (волонтеров) в работах по сохранению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выявленных объектов культурного наследия, а также перечень видов работ, в которых добровольцы могут принимать участие.</w:t>
      </w:r>
    </w:p>
    <w:p w14:paraId="3554D472" w14:textId="68ED2C6C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  <w:r w:rsidRPr="000053FA">
        <w:rPr>
          <w:rFonts w:ascii="Futura PT Book" w:hAnsi="Futura PT Book"/>
          <w:bCs/>
          <w:sz w:val="28"/>
          <w:szCs w:val="28"/>
        </w:rPr>
        <w:t>Добровольцы привлекаются организаторами добровольческой деятельности или добровольческими организациями к работам, осуществляемым юридическими лицами (индивидуальными предпринимателями), имеющими лицензию на осуществление деятельности по сохранению объектов культурного наследия, а также разрешение на проведение работ по сохранению объектов культурного наследия, в соответствии с договором, требовани</w:t>
      </w:r>
      <w:r w:rsidR="002E2816">
        <w:rPr>
          <w:rFonts w:ascii="Futura PT Book" w:hAnsi="Futura PT Book"/>
          <w:bCs/>
          <w:sz w:val="28"/>
          <w:szCs w:val="28"/>
        </w:rPr>
        <w:t>я</w:t>
      </w:r>
      <w:r w:rsidRPr="000053FA">
        <w:rPr>
          <w:rFonts w:ascii="Futura PT Book" w:hAnsi="Futura PT Book"/>
          <w:bCs/>
          <w:sz w:val="28"/>
          <w:szCs w:val="28"/>
        </w:rPr>
        <w:t xml:space="preserve"> к которому также содержатся в Положении. </w:t>
      </w:r>
    </w:p>
    <w:p w14:paraId="1266F5F4" w14:textId="147A3202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  <w:r w:rsidRPr="000053FA">
        <w:rPr>
          <w:rFonts w:ascii="Futura PT Book" w:hAnsi="Futura PT Book"/>
          <w:bCs/>
          <w:sz w:val="28"/>
          <w:szCs w:val="28"/>
        </w:rPr>
        <w:t>На территории объекта культурного наследия во время проведения работ по его сохранению могут находиться добровольцы, включенные в специальные списк</w:t>
      </w:r>
      <w:r w:rsidR="002E2816">
        <w:rPr>
          <w:rFonts w:ascii="Futura PT Book" w:hAnsi="Futura PT Book"/>
          <w:bCs/>
          <w:sz w:val="28"/>
          <w:szCs w:val="28"/>
        </w:rPr>
        <w:t>и</w:t>
      </w:r>
      <w:r w:rsidRPr="000053FA">
        <w:rPr>
          <w:rFonts w:ascii="Futura PT Book" w:hAnsi="Futura PT Book"/>
          <w:bCs/>
          <w:sz w:val="28"/>
          <w:szCs w:val="28"/>
        </w:rPr>
        <w:t>, а также прошедшие в установленном порядке инструктаж по технике безопасности.</w:t>
      </w:r>
    </w:p>
    <w:p w14:paraId="12F651A2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</w:p>
    <w:p w14:paraId="0EA66BFA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/>
          <w:sz w:val="28"/>
          <w:szCs w:val="28"/>
        </w:rPr>
      </w:pPr>
      <w:r w:rsidRPr="000053FA">
        <w:rPr>
          <w:rFonts w:ascii="Futura PT Book" w:hAnsi="Futura PT Book"/>
          <w:b/>
          <w:sz w:val="28"/>
          <w:szCs w:val="28"/>
        </w:rPr>
        <w:t>О планируемых изменениях законодательства</w:t>
      </w:r>
    </w:p>
    <w:p w14:paraId="21890B2C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  <w:r w:rsidRPr="000053FA">
        <w:rPr>
          <w:rFonts w:ascii="Futura PT Book" w:hAnsi="Futura PT Book"/>
          <w:bCs/>
          <w:sz w:val="28"/>
          <w:szCs w:val="28"/>
        </w:rPr>
        <w:t>На Федеральном портале проектов нормативных правовых актов объявлено:</w:t>
      </w:r>
    </w:p>
    <w:p w14:paraId="217E570D" w14:textId="64E0E06E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  <w:r w:rsidRPr="000053FA">
        <w:rPr>
          <w:rFonts w:ascii="Futura PT Book" w:hAnsi="Futura PT Book"/>
          <w:bCs/>
          <w:sz w:val="28"/>
          <w:szCs w:val="28"/>
        </w:rPr>
        <w:lastRenderedPageBreak/>
        <w:t xml:space="preserve">- о разработке Минэкономразвития России </w:t>
      </w:r>
      <w:hyperlink r:id="rId12" w:anchor="npa=98662" w:history="1">
        <w:r w:rsidRPr="000053FA">
          <w:rPr>
            <w:rStyle w:val="a3"/>
            <w:rFonts w:ascii="Futura PT Book" w:hAnsi="Futura PT Book"/>
            <w:bCs/>
            <w:sz w:val="28"/>
            <w:szCs w:val="28"/>
          </w:rPr>
          <w:t>проекта Постановления</w:t>
        </w:r>
      </w:hyperlink>
      <w:r w:rsidRPr="000053FA">
        <w:rPr>
          <w:rFonts w:ascii="Futura PT Book" w:hAnsi="Futura PT Book"/>
          <w:bCs/>
          <w:sz w:val="28"/>
          <w:szCs w:val="28"/>
        </w:rPr>
        <w:t xml:space="preserve">, которым предполагается расширить перечень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</w:t>
      </w:r>
      <w:r w:rsidR="002E2816">
        <w:rPr>
          <w:rFonts w:ascii="Futura PT Book" w:hAnsi="Futura PT Book"/>
          <w:bCs/>
          <w:sz w:val="28"/>
          <w:szCs w:val="28"/>
        </w:rPr>
        <w:t>таким</w:t>
      </w:r>
      <w:r w:rsidR="006531AB">
        <w:rPr>
          <w:rFonts w:ascii="Futura PT Book" w:hAnsi="Futura PT Book"/>
          <w:bCs/>
          <w:sz w:val="28"/>
          <w:szCs w:val="28"/>
        </w:rPr>
        <w:t>и</w:t>
      </w:r>
      <w:r w:rsidR="002E2816">
        <w:rPr>
          <w:rFonts w:ascii="Futura PT Book" w:hAnsi="Futura PT Book"/>
          <w:bCs/>
          <w:sz w:val="28"/>
          <w:szCs w:val="28"/>
        </w:rPr>
        <w:t xml:space="preserve"> вид</w:t>
      </w:r>
      <w:r w:rsidR="006531AB">
        <w:rPr>
          <w:rFonts w:ascii="Futura PT Book" w:hAnsi="Futura PT Book"/>
          <w:bCs/>
          <w:sz w:val="28"/>
          <w:szCs w:val="28"/>
        </w:rPr>
        <w:t>а</w:t>
      </w:r>
      <w:r w:rsidR="002E2816">
        <w:rPr>
          <w:rFonts w:ascii="Futura PT Book" w:hAnsi="Futura PT Book"/>
          <w:bCs/>
          <w:sz w:val="28"/>
          <w:szCs w:val="28"/>
        </w:rPr>
        <w:t>м</w:t>
      </w:r>
      <w:r w:rsidR="006531AB">
        <w:rPr>
          <w:rFonts w:ascii="Futura PT Book" w:hAnsi="Futura PT Book"/>
          <w:bCs/>
          <w:sz w:val="28"/>
          <w:szCs w:val="28"/>
        </w:rPr>
        <w:t>и</w:t>
      </w:r>
      <w:r w:rsidR="002E2816">
        <w:rPr>
          <w:rFonts w:ascii="Futura PT Book" w:hAnsi="Futura PT Book"/>
          <w:bCs/>
          <w:sz w:val="28"/>
          <w:szCs w:val="28"/>
        </w:rPr>
        <w:t xml:space="preserve"> деятельности</w:t>
      </w:r>
      <w:r w:rsidR="006531AB">
        <w:rPr>
          <w:rFonts w:ascii="Futura PT Book" w:hAnsi="Futura PT Book"/>
          <w:bCs/>
          <w:sz w:val="28"/>
          <w:szCs w:val="28"/>
        </w:rPr>
        <w:t>, как:</w:t>
      </w:r>
      <w:r w:rsidRPr="000053FA">
        <w:rPr>
          <w:rFonts w:ascii="Futura PT Book" w:hAnsi="Futura PT Book"/>
          <w:bCs/>
          <w:sz w:val="28"/>
          <w:szCs w:val="28"/>
        </w:rPr>
        <w:t xml:space="preserve">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объектах, а также в сфере работы с детьми-сиротами и детьми, оставшимися без попечения родителей;</w:t>
      </w:r>
    </w:p>
    <w:p w14:paraId="06DE4CD1" w14:textId="1F9D7895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  <w:r w:rsidRPr="000053FA">
        <w:rPr>
          <w:rFonts w:ascii="Futura PT Book" w:hAnsi="Futura PT Book"/>
          <w:bCs/>
          <w:sz w:val="28"/>
          <w:szCs w:val="28"/>
        </w:rPr>
        <w:t xml:space="preserve">- о разработке Минобрнауки России </w:t>
      </w:r>
      <w:hyperlink r:id="rId13" w:anchor="npa=98939" w:history="1">
        <w:r w:rsidRPr="000053FA">
          <w:rPr>
            <w:rStyle w:val="a3"/>
            <w:rFonts w:ascii="Futura PT Book" w:hAnsi="Futura PT Book"/>
            <w:bCs/>
            <w:sz w:val="28"/>
            <w:szCs w:val="28"/>
          </w:rPr>
          <w:t>проекта Приказа</w:t>
        </w:r>
      </w:hyperlink>
      <w:r w:rsidRPr="000053FA">
        <w:rPr>
          <w:rFonts w:ascii="Futura PT Book" w:hAnsi="Futura PT Book"/>
          <w:bCs/>
          <w:sz w:val="28"/>
          <w:szCs w:val="28"/>
        </w:rPr>
        <w:t>, которым предполагается утвердить порядок осуществления деятельности студенческих спортивных клубов (в том числе в виде общественных объединений), не являющихся юридическими лицами. Планируется закрепить</w:t>
      </w:r>
      <w:r w:rsidR="006531AB">
        <w:rPr>
          <w:rFonts w:ascii="Futura PT Book" w:hAnsi="Futura PT Book"/>
          <w:bCs/>
          <w:sz w:val="28"/>
          <w:szCs w:val="28"/>
        </w:rPr>
        <w:t xml:space="preserve"> положение о том</w:t>
      </w:r>
      <w:bookmarkStart w:id="0" w:name="_GoBack"/>
      <w:bookmarkEnd w:id="0"/>
      <w:r w:rsidRPr="000053FA">
        <w:rPr>
          <w:rFonts w:ascii="Futura PT Book" w:hAnsi="Futura PT Book"/>
          <w:bCs/>
          <w:sz w:val="28"/>
          <w:szCs w:val="28"/>
        </w:rPr>
        <w:t xml:space="preserve">, что спортивный клуб может создаваться образовательными организациями в качестве их структурных подразделений, а также обучающимися </w:t>
      </w:r>
      <w:r w:rsidRPr="000053FA">
        <w:rPr>
          <w:rFonts w:ascii="Futura PT Book" w:hAnsi="Futura PT Book"/>
          <w:sz w:val="28"/>
          <w:szCs w:val="28"/>
        </w:rPr>
        <w:t>в виде общественных объединений, не являющихся юридическими лицами, а также установить перечни задач и видов деятельности каждого из видов спортивных клубов.</w:t>
      </w:r>
    </w:p>
    <w:p w14:paraId="19359F28" w14:textId="77777777" w:rsidR="000053FA" w:rsidRPr="000053FA" w:rsidRDefault="000053FA" w:rsidP="001E3850">
      <w:pPr>
        <w:spacing w:line="276" w:lineRule="auto"/>
        <w:ind w:firstLine="708"/>
        <w:jc w:val="both"/>
        <w:rPr>
          <w:rFonts w:ascii="Futura PT Book" w:hAnsi="Futura PT Book"/>
          <w:bCs/>
          <w:sz w:val="28"/>
          <w:szCs w:val="28"/>
        </w:rPr>
      </w:pPr>
    </w:p>
    <w:p w14:paraId="29E749D8" w14:textId="77777777" w:rsidR="007B4916" w:rsidRPr="000053FA" w:rsidRDefault="007B4916" w:rsidP="001E3850">
      <w:pPr>
        <w:spacing w:line="276" w:lineRule="auto"/>
        <w:rPr>
          <w:rFonts w:ascii="Futura PT Book" w:hAnsi="Futura PT Book"/>
          <w:sz w:val="28"/>
          <w:szCs w:val="28"/>
        </w:rPr>
      </w:pPr>
    </w:p>
    <w:sectPr w:rsidR="007B4916" w:rsidRPr="000053FA" w:rsidSect="00604C87">
      <w:headerReference w:type="default" r:id="rId14"/>
      <w:footerReference w:type="even" r:id="rId15"/>
      <w:footerReference w:type="default" r:id="rId16"/>
      <w:pgSz w:w="11906" w:h="16838"/>
      <w:pgMar w:top="1134" w:right="991" w:bottom="709" w:left="1134" w:header="851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BEA33" w14:textId="77777777" w:rsidR="00FC107B" w:rsidRDefault="00FC107B">
      <w:r>
        <w:separator/>
      </w:r>
    </w:p>
  </w:endnote>
  <w:endnote w:type="continuationSeparator" w:id="0">
    <w:p w14:paraId="0E311F58" w14:textId="77777777" w:rsidR="00FC107B" w:rsidRDefault="00F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;ЛОМе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PT Book">
    <w:altName w:val="Calibri"/>
    <w:charset w:val="CC"/>
    <w:family w:val="swiss"/>
    <w:pitch w:val="variable"/>
    <w:sig w:usb0="A00002F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8AE42" w14:textId="77777777" w:rsidR="00FC57D8" w:rsidRDefault="00487EA1" w:rsidP="00F25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57D8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4321948" w14:textId="77777777" w:rsidR="00FC57D8" w:rsidRDefault="00FC57D8" w:rsidP="003538A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C38E3" w14:textId="0932F54E" w:rsidR="000053FA" w:rsidRPr="001C7479" w:rsidRDefault="000053FA" w:rsidP="000053FA">
    <w:pPr>
      <w:pStyle w:val="a4"/>
      <w:ind w:left="1843"/>
      <w:rPr>
        <w:color w:val="808080" w:themeColor="background1" w:themeShade="80"/>
        <w:sz w:val="20"/>
        <w:szCs w:val="20"/>
      </w:rPr>
    </w:pPr>
    <w:r w:rsidRPr="001C7479">
      <w:rPr>
        <w:noProof/>
        <w:color w:val="FFFFFF" w:themeColor="background1"/>
        <w:sz w:val="20"/>
        <w:szCs w:val="20"/>
        <w:lang w:eastAsia="zh-CN"/>
      </w:rPr>
      <w:drawing>
        <wp:anchor distT="0" distB="0" distL="144145" distR="144145" simplePos="0" relativeHeight="251659264" behindDoc="0" locked="0" layoutInCell="1" allowOverlap="1" wp14:anchorId="062F16FD" wp14:editId="57919611">
          <wp:simplePos x="0" y="0"/>
          <wp:positionH relativeFrom="column">
            <wp:posOffset>3175</wp:posOffset>
          </wp:positionH>
          <wp:positionV relativeFrom="paragraph">
            <wp:posOffset>29210</wp:posOffset>
          </wp:positionV>
          <wp:extent cx="1090295" cy="382905"/>
          <wp:effectExtent l="0" t="0" r="1905" b="0"/>
          <wp:wrapTight wrapText="bothSides">
            <wp:wrapPolygon edited="0">
              <wp:start x="503" y="0"/>
              <wp:lineTo x="0" y="8597"/>
              <wp:lineTo x="0" y="14328"/>
              <wp:lineTo x="5535" y="20060"/>
              <wp:lineTo x="14593" y="20060"/>
              <wp:lineTo x="21135" y="15761"/>
              <wp:lineTo x="21135" y="10030"/>
              <wp:lineTo x="5535" y="0"/>
              <wp:lineTo x="503" y="0"/>
            </wp:wrapPolygon>
          </wp:wrapTight>
          <wp:docPr id="144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grant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479">
      <w:rPr>
        <w:color w:val="808080" w:themeColor="background1" w:themeShade="80"/>
        <w:sz w:val="20"/>
        <w:szCs w:val="20"/>
      </w:rPr>
      <w:t>Материал подготовлен в рамках реализации проекта «</w:t>
    </w:r>
    <w:r w:rsidRPr="000053FA">
      <w:rPr>
        <w:color w:val="808080" w:themeColor="background1" w:themeShade="80"/>
        <w:sz w:val="20"/>
        <w:szCs w:val="20"/>
      </w:rPr>
      <w:t>Правовая академия НКО</w:t>
    </w:r>
    <w:r w:rsidRPr="001C7479">
      <w:rPr>
        <w:color w:val="808080" w:themeColor="background1" w:themeShade="80"/>
        <w:sz w:val="20"/>
        <w:szCs w:val="20"/>
      </w:rPr>
      <w:t xml:space="preserve">» </w:t>
    </w:r>
    <w:r w:rsidRPr="001C7479">
      <w:rPr>
        <w:color w:val="808080" w:themeColor="background1" w:themeShade="80"/>
        <w:sz w:val="20"/>
        <w:szCs w:val="20"/>
      </w:rPr>
      <w:br/>
      <w:t>с использованием гранта Президента Российской Федерации на развитие гражданского общества, предоставленного Фондом президентских грантов.</w:t>
    </w:r>
  </w:p>
  <w:p w14:paraId="46467387" w14:textId="1D9F8208" w:rsidR="00E97219" w:rsidRPr="000053FA" w:rsidRDefault="00E97219" w:rsidP="000053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09B9A" w14:textId="77777777" w:rsidR="00FC107B" w:rsidRDefault="00FC107B">
      <w:r>
        <w:separator/>
      </w:r>
    </w:p>
  </w:footnote>
  <w:footnote w:type="continuationSeparator" w:id="0">
    <w:p w14:paraId="25F03C62" w14:textId="77777777" w:rsidR="00FC107B" w:rsidRDefault="00FC107B">
      <w:r>
        <w:continuationSeparator/>
      </w:r>
    </w:p>
  </w:footnote>
  <w:footnote w:id="1">
    <w:p w14:paraId="392781F8" w14:textId="77777777" w:rsidR="000053FA" w:rsidRPr="007B491A" w:rsidRDefault="000053FA" w:rsidP="000053FA">
      <w:pPr>
        <w:ind w:firstLine="540"/>
        <w:jc w:val="both"/>
        <w:rPr>
          <w:rFonts w:ascii="Futura PT Book" w:hAnsi="Futura PT Book"/>
          <w:bCs/>
        </w:rPr>
      </w:pPr>
      <w:r w:rsidRPr="0092146E">
        <w:rPr>
          <w:rStyle w:val="af0"/>
        </w:rPr>
        <w:sym w:font="Symbol" w:char="F02A"/>
      </w:r>
      <w:r w:rsidRPr="0092146E">
        <w:t xml:space="preserve"> </w:t>
      </w:r>
      <w:r w:rsidRPr="007B491A">
        <w:rPr>
          <w:rFonts w:ascii="Futura PT Book" w:hAnsi="Futura PT Book"/>
          <w:bCs/>
        </w:rPr>
        <w:t>Отчетность за 2019 г. в орган статистики должны представлять организации, годовая бухгалтерская (финансовая) отчетность которых содержит сведения, отнесенные к государственной тайне. Кроме того, представлять отчетность организации обязаны в случаях, установленных Правительством Российской Федерации (п.п.5, 6 ч. 4, ч.7 ст. 18 Федерального закона от 06.12.2011 N 402-ФЗ).</w:t>
      </w:r>
    </w:p>
    <w:p w14:paraId="3BB1E907" w14:textId="77777777" w:rsidR="000053FA" w:rsidRDefault="000053FA" w:rsidP="000053FA">
      <w:pPr>
        <w:pStyle w:val="af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006E7" w14:textId="4F5E25D5" w:rsidR="00F67AC7" w:rsidRDefault="00C55AB9">
    <w:pPr>
      <w:pStyle w:val="ae"/>
      <w:rPr>
        <w:lang w:val="en-US"/>
      </w:rPr>
    </w:pPr>
    <w:r>
      <w:rPr>
        <w:noProof/>
      </w:rPr>
      <w:drawing>
        <wp:inline distT="0" distB="0" distL="0" distR="0" wp14:anchorId="69DE2EDF" wp14:editId="3B371F8B">
          <wp:extent cx="1857375" cy="714672"/>
          <wp:effectExtent l="0" t="0" r="0" b="9525"/>
          <wp:docPr id="15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29" cy="72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55B019" w14:textId="77777777" w:rsidR="00F67AC7" w:rsidRPr="00F67AC7" w:rsidRDefault="00F67AC7">
    <w:pPr>
      <w:pStyle w:val="ae"/>
      <w:rPr>
        <w:lang w:val="en-US"/>
      </w:rPr>
    </w:pPr>
  </w:p>
  <w:p w14:paraId="57518360" w14:textId="77777777" w:rsidR="00F67AC7" w:rsidRDefault="00F67AC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BCE"/>
    <w:multiLevelType w:val="hybridMultilevel"/>
    <w:tmpl w:val="FD009A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C6041"/>
    <w:multiLevelType w:val="hybridMultilevel"/>
    <w:tmpl w:val="C10684CA"/>
    <w:lvl w:ilvl="0" w:tplc="4B685B0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C7F70C0"/>
    <w:multiLevelType w:val="hybridMultilevel"/>
    <w:tmpl w:val="71D20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B64D0"/>
    <w:multiLevelType w:val="hybridMultilevel"/>
    <w:tmpl w:val="AB2072B4"/>
    <w:lvl w:ilvl="0" w:tplc="CC80CEC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B086E"/>
    <w:multiLevelType w:val="hybridMultilevel"/>
    <w:tmpl w:val="286C1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963EA9"/>
    <w:multiLevelType w:val="hybridMultilevel"/>
    <w:tmpl w:val="2AC4FF1A"/>
    <w:lvl w:ilvl="0" w:tplc="CC80CEC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EF"/>
    <w:rsid w:val="000053FA"/>
    <w:rsid w:val="00050487"/>
    <w:rsid w:val="000706BA"/>
    <w:rsid w:val="000716CC"/>
    <w:rsid w:val="000D486B"/>
    <w:rsid w:val="000E5146"/>
    <w:rsid w:val="000F3858"/>
    <w:rsid w:val="00107EF2"/>
    <w:rsid w:val="00125A7F"/>
    <w:rsid w:val="0016220B"/>
    <w:rsid w:val="001A083F"/>
    <w:rsid w:val="001C7479"/>
    <w:rsid w:val="001E3850"/>
    <w:rsid w:val="001E3FA1"/>
    <w:rsid w:val="00214F4B"/>
    <w:rsid w:val="0022285E"/>
    <w:rsid w:val="002228D8"/>
    <w:rsid w:val="00226881"/>
    <w:rsid w:val="002524F7"/>
    <w:rsid w:val="00273EA9"/>
    <w:rsid w:val="00285442"/>
    <w:rsid w:val="00287CDC"/>
    <w:rsid w:val="002E2405"/>
    <w:rsid w:val="002E2816"/>
    <w:rsid w:val="002E55DD"/>
    <w:rsid w:val="002F3B3D"/>
    <w:rsid w:val="0031301A"/>
    <w:rsid w:val="00352A5F"/>
    <w:rsid w:val="003538AA"/>
    <w:rsid w:val="00360748"/>
    <w:rsid w:val="00382ECC"/>
    <w:rsid w:val="003B10CE"/>
    <w:rsid w:val="0043182A"/>
    <w:rsid w:val="0043584F"/>
    <w:rsid w:val="004614D7"/>
    <w:rsid w:val="00487EA1"/>
    <w:rsid w:val="004B20D7"/>
    <w:rsid w:val="004B35B4"/>
    <w:rsid w:val="00516E05"/>
    <w:rsid w:val="0053045C"/>
    <w:rsid w:val="00537C4E"/>
    <w:rsid w:val="00560A95"/>
    <w:rsid w:val="00573FC9"/>
    <w:rsid w:val="00577684"/>
    <w:rsid w:val="0058450A"/>
    <w:rsid w:val="00604C87"/>
    <w:rsid w:val="00607760"/>
    <w:rsid w:val="006258DC"/>
    <w:rsid w:val="006500EF"/>
    <w:rsid w:val="006531AB"/>
    <w:rsid w:val="00670BBD"/>
    <w:rsid w:val="00676111"/>
    <w:rsid w:val="006E1C6C"/>
    <w:rsid w:val="00747B46"/>
    <w:rsid w:val="00777456"/>
    <w:rsid w:val="0078146D"/>
    <w:rsid w:val="00782A22"/>
    <w:rsid w:val="00797DC8"/>
    <w:rsid w:val="007B3780"/>
    <w:rsid w:val="007B4916"/>
    <w:rsid w:val="007B491A"/>
    <w:rsid w:val="00850C93"/>
    <w:rsid w:val="00893A18"/>
    <w:rsid w:val="00896A5D"/>
    <w:rsid w:val="008A4C26"/>
    <w:rsid w:val="00943486"/>
    <w:rsid w:val="0097055C"/>
    <w:rsid w:val="00993A01"/>
    <w:rsid w:val="009D5DC6"/>
    <w:rsid w:val="00A00EC3"/>
    <w:rsid w:val="00A263B3"/>
    <w:rsid w:val="00A33B3C"/>
    <w:rsid w:val="00A82BB4"/>
    <w:rsid w:val="00AD49F1"/>
    <w:rsid w:val="00AF4860"/>
    <w:rsid w:val="00B345DA"/>
    <w:rsid w:val="00B73AC6"/>
    <w:rsid w:val="00B75815"/>
    <w:rsid w:val="00B87579"/>
    <w:rsid w:val="00BD730C"/>
    <w:rsid w:val="00C30F7D"/>
    <w:rsid w:val="00C55AB9"/>
    <w:rsid w:val="00C6782A"/>
    <w:rsid w:val="00D42C7E"/>
    <w:rsid w:val="00D95D35"/>
    <w:rsid w:val="00DF08AD"/>
    <w:rsid w:val="00DF1B84"/>
    <w:rsid w:val="00E12C59"/>
    <w:rsid w:val="00E60472"/>
    <w:rsid w:val="00E6086C"/>
    <w:rsid w:val="00E64A88"/>
    <w:rsid w:val="00E802BF"/>
    <w:rsid w:val="00E97219"/>
    <w:rsid w:val="00F03ED8"/>
    <w:rsid w:val="00F25138"/>
    <w:rsid w:val="00F47FA6"/>
    <w:rsid w:val="00F50233"/>
    <w:rsid w:val="00F54F85"/>
    <w:rsid w:val="00F67AC7"/>
    <w:rsid w:val="00FB1C89"/>
    <w:rsid w:val="00FC107B"/>
    <w:rsid w:val="00FC1291"/>
    <w:rsid w:val="00F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9213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F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49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086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3538A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538AA"/>
  </w:style>
  <w:style w:type="character" w:styleId="a7">
    <w:name w:val="annotation reference"/>
    <w:rsid w:val="00A00EC3"/>
    <w:rPr>
      <w:sz w:val="16"/>
      <w:szCs w:val="16"/>
    </w:rPr>
  </w:style>
  <w:style w:type="paragraph" w:styleId="a8">
    <w:name w:val="annotation text"/>
    <w:basedOn w:val="a"/>
    <w:link w:val="a9"/>
    <w:rsid w:val="00A00E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A00EC3"/>
  </w:style>
  <w:style w:type="paragraph" w:styleId="aa">
    <w:name w:val="annotation subject"/>
    <w:basedOn w:val="a8"/>
    <w:next w:val="a8"/>
    <w:link w:val="ab"/>
    <w:rsid w:val="00A00EC3"/>
    <w:rPr>
      <w:b/>
      <w:bCs/>
    </w:rPr>
  </w:style>
  <w:style w:type="character" w:customStyle="1" w:styleId="ab">
    <w:name w:val="Тема примечания Знак"/>
    <w:link w:val="aa"/>
    <w:rsid w:val="00A00EC3"/>
    <w:rPr>
      <w:b/>
      <w:bCs/>
    </w:rPr>
  </w:style>
  <w:style w:type="paragraph" w:styleId="ac">
    <w:name w:val="Balloon Text"/>
    <w:basedOn w:val="a"/>
    <w:link w:val="ad"/>
    <w:rsid w:val="00A00E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A00E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F67A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7AC7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F67AC7"/>
    <w:rPr>
      <w:sz w:val="24"/>
      <w:szCs w:val="24"/>
    </w:rPr>
  </w:style>
  <w:style w:type="character" w:styleId="af0">
    <w:name w:val="footnote reference"/>
    <w:uiPriority w:val="99"/>
    <w:unhideWhenUsed/>
    <w:rsid w:val="0022285E"/>
    <w:rPr>
      <w:vertAlign w:val="superscript"/>
    </w:rPr>
  </w:style>
  <w:style w:type="paragraph" w:styleId="af1">
    <w:name w:val="Normal (Web)"/>
    <w:basedOn w:val="a"/>
    <w:uiPriority w:val="99"/>
    <w:unhideWhenUsed/>
    <w:rsid w:val="0022285E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WW-">
    <w:name w:val="WW-Базовый"/>
    <w:rsid w:val="0022285E"/>
    <w:pPr>
      <w:widowControl w:val="0"/>
      <w:suppressAutoHyphens/>
      <w:spacing w:after="200" w:line="276" w:lineRule="auto"/>
    </w:pPr>
    <w:rPr>
      <w:rFonts w:eastAsia="SimSun;ЛОМе" w:cs="Mangal"/>
      <w:color w:val="00000A"/>
      <w:sz w:val="24"/>
      <w:szCs w:val="24"/>
      <w:lang w:eastAsia="zh-CN" w:bidi="hi-IN"/>
    </w:rPr>
  </w:style>
  <w:style w:type="paragraph" w:styleId="af2">
    <w:name w:val="Body Text"/>
    <w:basedOn w:val="a"/>
    <w:link w:val="af3"/>
    <w:rsid w:val="0022285E"/>
    <w:pPr>
      <w:suppressAutoHyphens/>
      <w:spacing w:after="120" w:line="276" w:lineRule="auto"/>
    </w:pPr>
    <w:rPr>
      <w:rFonts w:ascii="Cambria" w:hAnsi="Cambria" w:cs="Calibri"/>
      <w:kern w:val="1"/>
      <w:sz w:val="22"/>
      <w:szCs w:val="22"/>
      <w:lang w:val="en-US" w:eastAsia="en-US" w:bidi="en-US"/>
    </w:rPr>
  </w:style>
  <w:style w:type="character" w:customStyle="1" w:styleId="af3">
    <w:name w:val="Основной текст Знак"/>
    <w:basedOn w:val="a0"/>
    <w:link w:val="af2"/>
    <w:rsid w:val="0022285E"/>
    <w:rPr>
      <w:rFonts w:ascii="Cambria" w:hAnsi="Cambria" w:cs="Calibri"/>
      <w:kern w:val="1"/>
      <w:sz w:val="22"/>
      <w:szCs w:val="22"/>
      <w:lang w:val="en-US" w:eastAsia="en-US" w:bidi="en-US"/>
    </w:rPr>
  </w:style>
  <w:style w:type="paragraph" w:styleId="af4">
    <w:name w:val="No Spacing"/>
    <w:uiPriority w:val="1"/>
    <w:qFormat/>
    <w:rsid w:val="00F502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rticle-renderblock">
    <w:name w:val="article-render__block"/>
    <w:basedOn w:val="a"/>
    <w:rsid w:val="003B10C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B49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5">
    <w:name w:val="Emphasis"/>
    <w:basedOn w:val="a0"/>
    <w:qFormat/>
    <w:rsid w:val="007B4916"/>
    <w:rPr>
      <w:i/>
      <w:iCs/>
    </w:rPr>
  </w:style>
  <w:style w:type="paragraph" w:styleId="af6">
    <w:name w:val="Title"/>
    <w:basedOn w:val="a"/>
    <w:next w:val="a"/>
    <w:link w:val="af7"/>
    <w:qFormat/>
    <w:rsid w:val="007B49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7B49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Subtitle"/>
    <w:basedOn w:val="a"/>
    <w:next w:val="a"/>
    <w:link w:val="af9"/>
    <w:qFormat/>
    <w:rsid w:val="007B49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9">
    <w:name w:val="Подзаголовок Знак"/>
    <w:basedOn w:val="a0"/>
    <w:link w:val="af8"/>
    <w:rsid w:val="007B491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a">
    <w:name w:val="Strong"/>
    <w:basedOn w:val="a0"/>
    <w:qFormat/>
    <w:rsid w:val="007B4916"/>
    <w:rPr>
      <w:b/>
      <w:bCs/>
    </w:rPr>
  </w:style>
  <w:style w:type="paragraph" w:styleId="afb">
    <w:name w:val="footnote text"/>
    <w:basedOn w:val="a"/>
    <w:link w:val="afc"/>
    <w:uiPriority w:val="99"/>
    <w:semiHidden/>
    <w:unhideWhenUsed/>
    <w:rsid w:val="000053F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0053F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gulation.gov.ru/projec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gulation.gov.ru/projec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ublication.pravo.gov.ru/Document/View/0001202001040024?index=0&amp;rangeSize=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A57D39EA87654A826E1AE073001366" ma:contentTypeVersion="14" ma:contentTypeDescription="Создание документа." ma:contentTypeScope="" ma:versionID="b158507853b4f4902d28312dab44d150">
  <xsd:schema xmlns:xsd="http://www.w3.org/2001/XMLSchema" xmlns:xs="http://www.w3.org/2001/XMLSchema" xmlns:p="http://schemas.microsoft.com/office/2006/metadata/properties" xmlns:ns2="cd3664f2-095a-4f8b-9d55-6e8dac6b38e9" xmlns:ns3="357de74d-0576-4f64-94f1-0981946002d6" xmlns:ns4="http://schemas.microsoft.com/sharepoint/v4" targetNamespace="http://schemas.microsoft.com/office/2006/metadata/properties" ma:root="true" ma:fieldsID="1de76712a716f221188405146b1480a7" ns2:_="" ns3:_="" ns4:_="">
    <xsd:import namespace="cd3664f2-095a-4f8b-9d55-6e8dac6b38e9"/>
    <xsd:import namespace="357de74d-0576-4f64-94f1-0981946002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gram" minOccurs="0"/>
                <xsd:element ref="ns2:DocTypeChoose" minOccurs="0"/>
                <xsd:element ref="ns2:DocType" minOccurs="0"/>
                <xsd:element ref="ns3:_dlc_DocId" minOccurs="0"/>
                <xsd:element ref="ns3:_dlc_DocIdUrl" minOccurs="0"/>
                <xsd:element ref="ns3:_dlc_DocIdPersistId" minOccurs="0"/>
                <xsd:element ref="ns2:Project_Value" minOccurs="0"/>
                <xsd:element ref="ns2:Program_Value" minOccurs="0"/>
                <xsd:element ref="ns2:Uniq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64f2-095a-4f8b-9d55-6e8dac6b38e9" elementFormDefault="qualified">
    <xsd:import namespace="http://schemas.microsoft.com/office/2006/documentManagement/types"/>
    <xsd:import namespace="http://schemas.microsoft.com/office/infopath/2007/PartnerControls"/>
    <xsd:element name="Project" ma:index="2" nillable="true" ma:displayName="Проект" ma:indexed="true" ma:internalName="Project">
      <xsd:simpleType>
        <xsd:restriction base="dms:Unknown"/>
      </xsd:simpleType>
    </xsd:element>
    <xsd:element name="Program" ma:index="3" nillable="true" ma:displayName="Программа" ma:indexed="true" ma:internalName="Program">
      <xsd:simpleType>
        <xsd:restriction base="dms:Unknown"/>
      </xsd:simpleType>
    </xsd:element>
    <xsd:element name="DocTypeChoose" ma:index="4" nillable="true" ma:displayName="Вид документа" ma:format="Dropdown" ma:internalName="DocTypeChoose">
      <xsd:simpleType>
        <xsd:restriction base="dms:Choice">
          <xsd:enumeration value="Предложение"/>
          <xsd:enumeration value="Презентация"/>
          <xsd:enumeration value="Отчет"/>
          <xsd:enumeration value="База данных"/>
          <xsd:enumeration value="Письмо"/>
          <xsd:enumeration value="План работ"/>
          <xsd:enumeration value="Пресс-релиз"/>
          <xsd:enumeration value="Перевод"/>
          <xsd:enumeration value="Мониторинг"/>
          <xsd:enumeration value="Финанс.юрид."/>
          <xsd:enumeration value="Инф справка"/>
          <xsd:enumeration value="Статья"/>
          <xsd:enumeration value="Комментарий"/>
        </xsd:restriction>
      </xsd:simpleType>
    </xsd:element>
    <xsd:element name="DocType" ma:index="5" nillable="true" ma:displayName="Вид документа (не используется)" ma:indexed="true" ma:list="{8295f3c2-d109-40e8-8d7e-92da87b75d93}" ma:internalName="DocType" ma:showField="Title">
      <xsd:simpleType>
        <xsd:restriction base="dms:Lookup"/>
      </xsd:simpleType>
    </xsd:element>
    <xsd:element name="Project_Value" ma:index="12" nillable="true" ma:displayName="Project_Value" ma:hidden="true" ma:internalName="Project_Value" ma:readOnly="false">
      <xsd:simpleType>
        <xsd:restriction base="dms:Text"/>
      </xsd:simpleType>
    </xsd:element>
    <xsd:element name="Program_Value" ma:index="14" nillable="true" ma:displayName="Program_Value" ma:hidden="true" ma:internalName="Program_Value" ma:readOnly="false">
      <xsd:simpleType>
        <xsd:restriction base="dms:Text"/>
      </xsd:simpleType>
    </xsd:element>
    <xsd:element name="Uniq" ma:index="17" nillable="true" ma:displayName="Доступ" ma:internalName="Uniq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e74d-0576-4f64-94f1-0981946002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dexed="true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roject_Value xmlns="cd3664f2-095a-4f8b-9d55-6e8dac6b38e9">4565a305-161f-11df-b838-003048d4ff33</Project_Value>
    <IconOverlay xmlns="http://schemas.microsoft.com/sharepoint/v4" xsi:nil="true"/>
    <DocType xmlns="cd3664f2-095a-4f8b-9d55-6e8dac6b38e9" xsi:nil="true"/>
    <Program xmlns="cd3664f2-095a-4f8b-9d55-6e8dac6b38e9" xsi:nil="true"/>
    <Uniq xmlns="cd3664f2-095a-4f8b-9d55-6e8dac6b38e9" xsi:nil="true"/>
    <DocTypeChoose xmlns="cd3664f2-095a-4f8b-9d55-6e8dac6b38e9">Инф справка</DocTypeChoose>
    <Project xmlns="cd3664f2-095a-4f8b-9d55-6e8dac6b38e9">Михайлов и Партнеры</Project>
    <Program_Value xmlns="cd3664f2-095a-4f8b-9d55-6e8dac6b38e9" xsi:nil="true"/>
    <_dlc_DocId xmlns="357de74d-0576-4f64-94f1-0981946002d6">C7SY476UVPAM-52-77535</_dlc_DocId>
    <_dlc_DocIdUrl xmlns="357de74d-0576-4f64-94f1-0981946002d6">
      <Url>http://mp27/Docs/_layouts/DocIdRedir.aspx?ID=C7SY476UVPAM-52-77535</Url>
      <Description>C7SY476UVPAM-52-77535</Description>
    </_dlc_DocIdUrl>
  </documentManagement>
</p:properties>
</file>

<file path=customXml/itemProps1.xml><?xml version="1.0" encoding="utf-8"?>
<ds:datastoreItem xmlns:ds="http://schemas.openxmlformats.org/officeDocument/2006/customXml" ds:itemID="{85831838-680F-43A9-9C89-4BAE42BCB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CD150-ADD6-49FB-A814-8631BAD928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71B521-3D18-4DC3-8866-E0E009789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664f2-095a-4f8b-9d55-6e8dac6b38e9"/>
    <ds:schemaRef ds:uri="357de74d-0576-4f64-94f1-0981946002d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9BD72A-01CA-4A1F-8ECE-C5FC10D8E80D}">
  <ds:schemaRefs>
    <ds:schemaRef ds:uri="http://schemas.microsoft.com/office/2006/metadata/properties"/>
    <ds:schemaRef ds:uri="cd3664f2-095a-4f8b-9d55-6e8dac6b38e9"/>
    <ds:schemaRef ds:uri="http://schemas.microsoft.com/sharepoint/v4"/>
    <ds:schemaRef ds:uri="357de74d-0576-4f64-94f1-0981946002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новелл проекта изменений в главу 4 части первой Гражданского кодекса Российской Федерации в части регулирования положения некоммерческих организаций (второе чтение)</vt:lpstr>
    </vt:vector>
  </TitlesOfParts>
  <Company>MoBIL GROUP</Company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новелл проекта изменений в главу 4 части первой Гражданского кодекса Российской Федерации в части регулирования положения некоммерческих организаций (второе чтение)</dc:title>
  <dc:subject/>
  <dc:creator>I M</dc:creator>
  <cp:keywords/>
  <cp:lastModifiedBy>Ольга</cp:lastModifiedBy>
  <cp:revision>5</cp:revision>
  <cp:lastPrinted>2020-02-05T07:02:00Z</cp:lastPrinted>
  <dcterms:created xsi:type="dcterms:W3CDTF">2020-02-04T13:58:00Z</dcterms:created>
  <dcterms:modified xsi:type="dcterms:W3CDTF">2020-02-05T08:33:00Z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Михайлов и Партнеры</vt:lpwstr>
  </property>
  <property fmtid="{D5CDD505-2E9C-101B-9397-08002B2CF9AE}" pid="3" name="Project_Value">
    <vt:lpwstr>4565a305-161f-11df-b838-003048d4ff33</vt:lpwstr>
  </property>
  <property fmtid="{D5CDD505-2E9C-101B-9397-08002B2CF9AE}" pid="4" name="Program">
    <vt:lpwstr/>
  </property>
  <property fmtid="{D5CDD505-2E9C-101B-9397-08002B2CF9AE}" pid="5" name="Program_Value">
    <vt:lpwstr/>
  </property>
  <property fmtid="{D5CDD505-2E9C-101B-9397-08002B2CF9AE}" pid="6" name="DocTypeChoose">
    <vt:lpwstr>Инф справка</vt:lpwstr>
  </property>
  <property fmtid="{D5CDD505-2E9C-101B-9397-08002B2CF9AE}" pid="7" name="ContentTypeId">
    <vt:lpwstr>0x010100F8A57D39EA87654A826E1AE073001366</vt:lpwstr>
  </property>
  <property fmtid="{D5CDD505-2E9C-101B-9397-08002B2CF9AE}" pid="8" name="_dlc_DocIdItemGuid">
    <vt:lpwstr>1cb96f19-4f09-45a0-a6c0-3bd2f6a0af75</vt:lpwstr>
  </property>
</Properties>
</file>