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14" w:rsidRPr="005E2614" w:rsidRDefault="005E2614" w:rsidP="005E2614">
      <w:pPr>
        <w:shd w:val="clear" w:color="auto" w:fill="FFFFFF"/>
        <w:jc w:val="center"/>
        <w:outlineLvl w:val="1"/>
        <w:rPr>
          <w:b/>
          <w:caps/>
          <w:sz w:val="28"/>
          <w:szCs w:val="28"/>
          <w:lang w:eastAsia="ru-RU"/>
        </w:rPr>
      </w:pPr>
      <w:r w:rsidRPr="005E2614">
        <w:rPr>
          <w:b/>
          <w:caps/>
          <w:sz w:val="28"/>
          <w:szCs w:val="28"/>
          <w:lang w:eastAsia="ru-RU"/>
        </w:rPr>
        <w:t>ТРЕБОВАНИЯ К ЗАЯВЛЕНИЯМ НЕКОММЕРЧЕСКИХ ОРГАНИЗАЦИЙ О ВЫДВИЖЕНИИ СВОИХ КАНДИДАТОВ В СОСТАВ ОБЩЕСТВЕННОЙ ПАЛАТЫ УЛЬЯНОВСКОЙ ОБЛАСТИ</w:t>
      </w:r>
    </w:p>
    <w:p w:rsidR="005E2614" w:rsidRPr="00E567D3" w:rsidRDefault="005E2614" w:rsidP="005E2614">
      <w:pPr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Заявления некоммерческих организаций о выдвижении своих кандидатов в новый состав Общественной палаты (далее – заявления) должны содержать информацию: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1) о продолжительности и эффективности (результативности) деятельности кандидатов в сфере представления и защиты прав и законных интересов соответствующих профессиональных и социальных групп, в том числе во взаимодействии с государственными органами и органами местного самоуправления, иными организациями, осуществляющими отдельные публичные полномочия на территории Ульяновской области;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2) о наличии у кандидатов наград и поощрений, установленных нормативными правовыми актами Российской Федерации, субъектов Российской Федерации, муниципальными нормативными правовыми актами;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3) о наименовании, организационно-правовой форме, территориальной сфере деятельности и полномочиях органов некоммерческой организации, выдвинувшей кандидата в новый состав Общественной палаты;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4) о соответствии некоммерческой организации требованиям, установленным Федеральным законом «Об общих принципах организации и деятельности общественных палат субъектов Российской Федерации».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Заявления оформляются решениями коллегиальных органов некоммерческих организаций, обладающих соответствующими полномочиями в силу закона или в соответствии с уставами этих организаций, а при отсутствии коллегиальных органов – решениями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Наряду с заявлением некоммерческие организации вправе представить: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1) копию свидетельства о государственной регистрации некоммерческой организации;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2) копию устава некоммерческой организации;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3) выписку из Единого государственного реестра юридических лиц в отношении некоммерческой организации;</w:t>
      </w:r>
    </w:p>
    <w:p w:rsidR="005E2614" w:rsidRPr="005E2614" w:rsidRDefault="005E2614" w:rsidP="005E2614">
      <w:pPr>
        <w:ind w:firstLine="708"/>
        <w:jc w:val="both"/>
        <w:rPr>
          <w:sz w:val="24"/>
          <w:szCs w:val="24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4) документы, подтверждающие информацию о кандидате в новый состав Общественной палаты, содержащуюся в заявлении, и его соответствие требованиям, установленным статьей 7 Федерального закона «Об общих принципах организации и деятельности общественных палат субъектов Российской Федерации»;</w:t>
      </w:r>
    </w:p>
    <w:p w:rsidR="00B06598" w:rsidRPr="005E2614" w:rsidRDefault="005E2614" w:rsidP="005E2614">
      <w:pPr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  <w:r w:rsidRPr="005E2614">
        <w:rPr>
          <w:sz w:val="24"/>
          <w:szCs w:val="24"/>
          <w:shd w:val="clear" w:color="auto" w:fill="FFFFFF"/>
          <w:lang w:eastAsia="ru-RU"/>
        </w:rPr>
        <w:t>5) иные документы, которые некоммерческая организация посчитает необходимым представить.</w:t>
      </w:r>
    </w:p>
    <w:sectPr w:rsidR="00B06598" w:rsidRPr="005E2614" w:rsidSect="0068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14"/>
    <w:rsid w:val="004E2A3D"/>
    <w:rsid w:val="005E2614"/>
    <w:rsid w:val="006816E6"/>
    <w:rsid w:val="00F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2017-10-17T05:01:00Z</dcterms:created>
  <dcterms:modified xsi:type="dcterms:W3CDTF">2017-10-17T05:05:00Z</dcterms:modified>
</cp:coreProperties>
</file>