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76" w:rsidRPr="0095467C" w:rsidRDefault="00272776" w:rsidP="002727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РЕГЛАМЕНТ</w:t>
      </w:r>
    </w:p>
    <w:p w:rsidR="00272776" w:rsidRPr="0095467C" w:rsidRDefault="00272776" w:rsidP="002727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расширенного заседания </w:t>
      </w:r>
    </w:p>
    <w:p w:rsidR="00272776" w:rsidRPr="0095467C" w:rsidRDefault="00272776" w:rsidP="002727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467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Совета Общественной палаты Ульяновской области</w:t>
      </w:r>
    </w:p>
    <w:p w:rsidR="00272776" w:rsidRPr="0095467C" w:rsidRDefault="00272776" w:rsidP="002727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207" w:type="dxa"/>
        <w:tblLayout w:type="fixed"/>
        <w:tblLook w:val="04A0"/>
      </w:tblPr>
      <w:tblGrid>
        <w:gridCol w:w="2411"/>
        <w:gridCol w:w="3019"/>
        <w:gridCol w:w="4777"/>
      </w:tblGrid>
      <w:tr w:rsidR="00272776" w:rsidRPr="0095467C" w:rsidTr="003E18C8">
        <w:tc>
          <w:tcPr>
            <w:tcW w:w="5430" w:type="dxa"/>
            <w:gridSpan w:val="2"/>
            <w:hideMark/>
          </w:tcPr>
          <w:p w:rsidR="00272776" w:rsidRPr="0095467C" w:rsidRDefault="00272776" w:rsidP="003E1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.03.2016 г.</w:t>
            </w:r>
          </w:p>
        </w:tc>
        <w:tc>
          <w:tcPr>
            <w:tcW w:w="4777" w:type="dxa"/>
            <w:hideMark/>
          </w:tcPr>
          <w:p w:rsidR="00272776" w:rsidRPr="0095467C" w:rsidRDefault="00272776" w:rsidP="003E18C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15.00 – 16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.30</w:t>
            </w:r>
          </w:p>
        </w:tc>
      </w:tr>
      <w:tr w:rsidR="00272776" w:rsidRPr="0095467C" w:rsidTr="003E18C8">
        <w:tc>
          <w:tcPr>
            <w:tcW w:w="5430" w:type="dxa"/>
            <w:gridSpan w:val="2"/>
          </w:tcPr>
          <w:p w:rsidR="00272776" w:rsidRPr="0095467C" w:rsidRDefault="00272776" w:rsidP="003E1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777" w:type="dxa"/>
          </w:tcPr>
          <w:p w:rsidR="00272776" w:rsidRPr="0095467C" w:rsidRDefault="00272776" w:rsidP="003E1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72776" w:rsidRPr="0095467C" w:rsidTr="003E18C8">
        <w:tc>
          <w:tcPr>
            <w:tcW w:w="10207" w:type="dxa"/>
            <w:gridSpan w:val="3"/>
          </w:tcPr>
          <w:p w:rsidR="00272776" w:rsidRPr="0095467C" w:rsidRDefault="00272776" w:rsidP="003E1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Место проведения: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конференц-зал ЦОНК </w:t>
            </w:r>
            <w:proofErr w:type="spell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УлГПУ</w:t>
            </w:r>
            <w:proofErr w:type="spellEnd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«Форум», ул. </w:t>
            </w:r>
            <w:proofErr w:type="spell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Корюкина</w:t>
            </w:r>
            <w:proofErr w:type="spellEnd"/>
            <w:r w:rsidR="007A4B5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д.4</w:t>
            </w:r>
          </w:p>
          <w:p w:rsidR="00272776" w:rsidRPr="0095467C" w:rsidRDefault="00272776" w:rsidP="003E1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72776" w:rsidRPr="0095467C" w:rsidRDefault="00272776" w:rsidP="003E1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272776" w:rsidRPr="0095467C" w:rsidTr="003E18C8">
        <w:tc>
          <w:tcPr>
            <w:tcW w:w="2411" w:type="dxa"/>
            <w:hideMark/>
          </w:tcPr>
          <w:p w:rsidR="00272776" w:rsidRPr="0095467C" w:rsidRDefault="00272776" w:rsidP="003E18C8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.05</w:t>
            </w:r>
          </w:p>
        </w:tc>
        <w:tc>
          <w:tcPr>
            <w:tcW w:w="7796" w:type="dxa"/>
            <w:gridSpan w:val="2"/>
          </w:tcPr>
          <w:p w:rsidR="00272776" w:rsidRPr="0095467C" w:rsidRDefault="00272776" w:rsidP="003E18C8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Вступительное слово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председателя Общественной палаты Ульяновской области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Девяткиной Тамары Владимировны</w:t>
            </w:r>
            <w:proofErr w:type="gramEnd"/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  <w:p w:rsidR="00272776" w:rsidRPr="0095467C" w:rsidRDefault="00272776" w:rsidP="003E18C8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72776" w:rsidRPr="0095467C" w:rsidTr="003E18C8">
        <w:trPr>
          <w:trHeight w:val="1359"/>
        </w:trPr>
        <w:tc>
          <w:tcPr>
            <w:tcW w:w="2411" w:type="dxa"/>
            <w:hideMark/>
          </w:tcPr>
          <w:p w:rsidR="00272776" w:rsidRPr="0095467C" w:rsidRDefault="00272776" w:rsidP="003E18C8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15.05 – 15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.25</w:t>
            </w:r>
          </w:p>
        </w:tc>
        <w:tc>
          <w:tcPr>
            <w:tcW w:w="7796" w:type="dxa"/>
            <w:gridSpan w:val="2"/>
          </w:tcPr>
          <w:p w:rsidR="00272776" w:rsidRPr="0095467C" w:rsidRDefault="00272776" w:rsidP="003E1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Отчёт о деятельности заместителя Председателя Правительства - Министра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здравоохранения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Ульяновской области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Дегтяря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Павла Сергеевича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2015 год.</w:t>
            </w:r>
          </w:p>
          <w:p w:rsidR="00272776" w:rsidRPr="0095467C" w:rsidRDefault="00272776" w:rsidP="003E18C8">
            <w:pPr>
              <w:tabs>
                <w:tab w:val="left" w:pos="10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272776" w:rsidRPr="0095467C" w:rsidTr="003E18C8">
        <w:trPr>
          <w:trHeight w:val="756"/>
        </w:trPr>
        <w:tc>
          <w:tcPr>
            <w:tcW w:w="2411" w:type="dxa"/>
            <w:hideMark/>
          </w:tcPr>
          <w:p w:rsidR="00272776" w:rsidRPr="0095467C" w:rsidRDefault="00272776" w:rsidP="003E18C8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.25 –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.20</w:t>
            </w:r>
          </w:p>
        </w:tc>
        <w:tc>
          <w:tcPr>
            <w:tcW w:w="7796" w:type="dxa"/>
            <w:gridSpan w:val="2"/>
          </w:tcPr>
          <w:p w:rsidR="00272776" w:rsidRPr="0095467C" w:rsidRDefault="00272776" w:rsidP="003E1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Обсуждение, обмен мнениями.</w:t>
            </w:r>
          </w:p>
          <w:p w:rsidR="00272776" w:rsidRPr="0095467C" w:rsidRDefault="00272776" w:rsidP="003E1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272776" w:rsidRPr="0095467C" w:rsidTr="003E18C8">
        <w:trPr>
          <w:trHeight w:val="1359"/>
        </w:trPr>
        <w:tc>
          <w:tcPr>
            <w:tcW w:w="2411" w:type="dxa"/>
            <w:hideMark/>
          </w:tcPr>
          <w:p w:rsidR="00272776" w:rsidRPr="0095467C" w:rsidRDefault="00272776" w:rsidP="003E18C8">
            <w:pPr>
              <w:suppressAutoHyphens/>
              <w:snapToGrid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6.20 – 16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.30</w:t>
            </w:r>
          </w:p>
        </w:tc>
        <w:tc>
          <w:tcPr>
            <w:tcW w:w="7796" w:type="dxa"/>
            <w:gridSpan w:val="2"/>
          </w:tcPr>
          <w:p w:rsidR="00272776" w:rsidRPr="0095467C" w:rsidRDefault="00272776" w:rsidP="003E1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Голосование членов Общественной палаты Ульяновской области за утверждение отчёта о деятельности заместителя Председателя Правительства - Министра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здравоохранения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Ульяновской области</w:t>
            </w:r>
            <w:r w:rsidRPr="00954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Дегтяря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П.С</w:t>
            </w:r>
            <w:r w:rsidRPr="0095467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за 2015 год.</w:t>
            </w:r>
          </w:p>
          <w:p w:rsidR="00272776" w:rsidRPr="0095467C" w:rsidRDefault="00272776" w:rsidP="003E1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E71068" w:rsidRDefault="00E71068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272776" w:rsidRDefault="00272776"/>
    <w:p w:rsidR="00272776" w:rsidRDefault="00272776" w:rsidP="002727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ПРОТОКОЛ</w:t>
      </w:r>
    </w:p>
    <w:p w:rsidR="00272776" w:rsidRDefault="00272776" w:rsidP="00272776">
      <w:pPr>
        <w:spacing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Расширенного заседания Совета Общественной палаты Ульяновской области</w:t>
      </w:r>
    </w:p>
    <w:p w:rsidR="00272776" w:rsidRDefault="00272776" w:rsidP="002727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632" w:type="dxa"/>
        <w:tblInd w:w="-743" w:type="dxa"/>
        <w:tblLook w:val="01E0"/>
      </w:tblPr>
      <w:tblGrid>
        <w:gridCol w:w="4425"/>
        <w:gridCol w:w="6207"/>
      </w:tblGrid>
      <w:tr w:rsidR="00272776" w:rsidTr="003E18C8">
        <w:tc>
          <w:tcPr>
            <w:tcW w:w="4425" w:type="dxa"/>
            <w:hideMark/>
          </w:tcPr>
          <w:p w:rsidR="00272776" w:rsidRDefault="00272776" w:rsidP="003E18C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17.03.2016 г.</w:t>
            </w:r>
          </w:p>
        </w:tc>
        <w:tc>
          <w:tcPr>
            <w:tcW w:w="6207" w:type="dxa"/>
            <w:hideMark/>
          </w:tcPr>
          <w:p w:rsidR="00272776" w:rsidRDefault="00272776" w:rsidP="003E18C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15.00 –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6.30</w:t>
            </w:r>
          </w:p>
        </w:tc>
      </w:tr>
    </w:tbl>
    <w:p w:rsidR="00272776" w:rsidRDefault="00272776" w:rsidP="002727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2776" w:rsidRDefault="00272776" w:rsidP="002727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Место проведения: </w:t>
      </w:r>
      <w:r>
        <w:rPr>
          <w:rFonts w:ascii="Times New Roman" w:eastAsia="Times New Roman" w:hAnsi="Times New Roman"/>
          <w:sz w:val="26"/>
          <w:szCs w:val="26"/>
        </w:rPr>
        <w:t xml:space="preserve">зал заседаний ЦОНК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УлГПУ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им. И.Н. Ульянова «Форум», ул.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Корюкина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д. 4, 2 этаж.</w:t>
      </w:r>
    </w:p>
    <w:p w:rsidR="00272776" w:rsidRDefault="00272776" w:rsidP="002727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030" w:type="dxa"/>
        <w:tblInd w:w="-459" w:type="dxa"/>
        <w:tblLook w:val="01E0"/>
      </w:tblPr>
      <w:tblGrid>
        <w:gridCol w:w="682"/>
        <w:gridCol w:w="4001"/>
        <w:gridCol w:w="506"/>
        <w:gridCol w:w="5659"/>
      </w:tblGrid>
      <w:tr w:rsidR="00272776" w:rsidTr="003E18C8">
        <w:trPr>
          <w:trHeight w:val="633"/>
        </w:trPr>
        <w:tc>
          <w:tcPr>
            <w:tcW w:w="10030" w:type="dxa"/>
            <w:gridSpan w:val="4"/>
          </w:tcPr>
          <w:p w:rsidR="00272776" w:rsidRDefault="00272776" w:rsidP="003E18C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Совет ОП УО:</w:t>
            </w:r>
          </w:p>
          <w:tbl>
            <w:tblPr>
              <w:tblW w:w="10537" w:type="dxa"/>
              <w:tblLook w:val="01E0"/>
            </w:tblPr>
            <w:tblGrid>
              <w:gridCol w:w="885"/>
              <w:gridCol w:w="3321"/>
              <w:gridCol w:w="350"/>
              <w:gridCol w:w="5981"/>
            </w:tblGrid>
            <w:tr w:rsidR="00272776" w:rsidTr="003E18C8">
              <w:trPr>
                <w:trHeight w:val="627"/>
              </w:trPr>
              <w:tc>
                <w:tcPr>
                  <w:tcW w:w="885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  <w:hideMark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Девяткина</w:t>
                  </w:r>
                </w:p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Тамара Владимировна</w:t>
                  </w:r>
                </w:p>
              </w:tc>
              <w:tc>
                <w:tcPr>
                  <w:tcW w:w="350" w:type="dxa"/>
                  <w:hideMark/>
                </w:tcPr>
                <w:p w:rsidR="00272776" w:rsidRDefault="00272776" w:rsidP="003E18C8">
                  <w:pPr>
                    <w:spacing w:after="0"/>
                  </w:pPr>
                </w:p>
              </w:tc>
              <w:tc>
                <w:tcPr>
                  <w:tcW w:w="5981" w:type="dxa"/>
                  <w:hideMark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ОП УО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885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Володина 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Юлия Константиновна</w:t>
                  </w:r>
                </w:p>
              </w:tc>
              <w:tc>
                <w:tcPr>
                  <w:tcW w:w="350" w:type="dxa"/>
                  <w:hideMark/>
                </w:tcPr>
                <w:p w:rsidR="00272776" w:rsidRDefault="00272776" w:rsidP="003E18C8">
                  <w:pPr>
                    <w:spacing w:after="0"/>
                  </w:pPr>
                </w:p>
              </w:tc>
              <w:tc>
                <w:tcPr>
                  <w:tcW w:w="5981" w:type="dxa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Комиссии по культуре, искусству, творческому и культурно-историческому наследию ОП УО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885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Караулова</w:t>
                  </w:r>
                </w:p>
                <w:p w:rsidR="00272776" w:rsidRPr="00B64961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B64961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Валентина Герасимовна</w:t>
                  </w:r>
                </w:p>
              </w:tc>
              <w:tc>
                <w:tcPr>
                  <w:tcW w:w="350" w:type="dxa"/>
                </w:tcPr>
                <w:p w:rsidR="00272776" w:rsidRDefault="00272776" w:rsidP="003E18C8">
                  <w:pPr>
                    <w:spacing w:after="0"/>
                  </w:pPr>
                </w:p>
              </w:tc>
              <w:tc>
                <w:tcPr>
                  <w:tcW w:w="5981" w:type="dxa"/>
                </w:tcPr>
                <w:p w:rsidR="00272776" w:rsidRDefault="00272776" w:rsidP="003E18C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Председатель Комиссии </w:t>
                  </w:r>
                  <w:r w:rsidRPr="00B64961">
                    <w:rPr>
                      <w:rFonts w:ascii="Times New Roman" w:hAnsi="Times New Roman"/>
                      <w:sz w:val="26"/>
                      <w:szCs w:val="26"/>
                    </w:rPr>
                    <w:t>по поддержке семьи, детей и материнства, социальной поддержке граждан, популяризации здорового образа жизни и вопросам экологии</w:t>
                  </w:r>
                  <w:r w:rsidRPr="00B64961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ОП УО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885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Твердохлеб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Татьяна Евгеньевна</w:t>
                  </w:r>
                </w:p>
              </w:tc>
              <w:tc>
                <w:tcPr>
                  <w:tcW w:w="350" w:type="dxa"/>
                  <w:hideMark/>
                </w:tcPr>
                <w:p w:rsidR="00272776" w:rsidRDefault="00272776" w:rsidP="003E18C8">
                  <w:pPr>
                    <w:spacing w:after="0"/>
                  </w:pPr>
                </w:p>
              </w:tc>
              <w:tc>
                <w:tcPr>
                  <w:tcW w:w="5981" w:type="dxa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Комиссии по развитию образования и науки, поддержке инновационной деятельности ОП УО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885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Ярош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Вячеслав Фёдорович</w:t>
                  </w:r>
                </w:p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272776" w:rsidRDefault="00272776" w:rsidP="003E18C8">
                  <w:pPr>
                    <w:spacing w:after="0"/>
                  </w:pPr>
                </w:p>
              </w:tc>
              <w:tc>
                <w:tcPr>
                  <w:tcW w:w="5981" w:type="dxa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Председатель Комиссии по развитию социальной инфраструктуры, жилищно-коммунального комплекса и местного самоуправления ОП УО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885" w:type="dxa"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ind w:left="643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652" w:type="dxa"/>
                  <w:gridSpan w:val="3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  <w:p w:rsidR="00272776" w:rsidRPr="00A07858" w:rsidRDefault="00272776" w:rsidP="003E18C8">
                  <w:pPr>
                    <w:spacing w:after="0"/>
                    <w:ind w:left="-108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4961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Комиссия </w:t>
                  </w:r>
                  <w:r w:rsidRPr="00B6496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 поддержке семьи, детей и мат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еринства, социальной поддержке </w:t>
                  </w:r>
                  <w:r w:rsidRPr="00B6496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граждан, популяризации здорового образа жизни и вопросам экологии</w:t>
                  </w:r>
                  <w:r w:rsidRPr="00B64961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 ОП УО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885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</w:tcPr>
                <w:p w:rsidR="00272776" w:rsidRPr="00B64961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B64961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Брагин 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Александр Александрович</w:t>
                  </w:r>
                </w:p>
              </w:tc>
              <w:tc>
                <w:tcPr>
                  <w:tcW w:w="350" w:type="dxa"/>
                  <w:hideMark/>
                </w:tcPr>
                <w:p w:rsidR="00272776" w:rsidRDefault="00272776" w:rsidP="003E18C8">
                  <w:pPr>
                    <w:spacing w:after="0"/>
                  </w:pPr>
                </w:p>
              </w:tc>
              <w:tc>
                <w:tcPr>
                  <w:tcW w:w="5981" w:type="dxa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Член Комиссии 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885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21" w:type="dxa"/>
                </w:tcPr>
                <w:p w:rsidR="00272776" w:rsidRPr="00B64961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B64961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Ильина 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Светлана Николаевна</w:t>
                  </w:r>
                </w:p>
              </w:tc>
              <w:tc>
                <w:tcPr>
                  <w:tcW w:w="350" w:type="dxa"/>
                </w:tcPr>
                <w:p w:rsidR="00272776" w:rsidRDefault="00272776" w:rsidP="003E18C8">
                  <w:pPr>
                    <w:spacing w:after="0"/>
                  </w:pPr>
                </w:p>
              </w:tc>
              <w:tc>
                <w:tcPr>
                  <w:tcW w:w="5981" w:type="dxa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Член Комиссии с правом совещательного голоса</w:t>
                  </w:r>
                </w:p>
              </w:tc>
            </w:tr>
          </w:tbl>
          <w:p w:rsidR="00272776" w:rsidRDefault="00272776" w:rsidP="003E18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272776" w:rsidRDefault="00272776" w:rsidP="003E18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Члены ОП УО: </w:t>
            </w:r>
          </w:p>
          <w:p w:rsidR="00272776" w:rsidRDefault="00272776" w:rsidP="003E18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10632" w:type="dxa"/>
              <w:tblLook w:val="01E0"/>
            </w:tblPr>
            <w:tblGrid>
              <w:gridCol w:w="653"/>
              <w:gridCol w:w="100"/>
              <w:gridCol w:w="3195"/>
              <w:gridCol w:w="22"/>
              <w:gridCol w:w="284"/>
              <w:gridCol w:w="56"/>
              <w:gridCol w:w="6266"/>
              <w:gridCol w:w="56"/>
            </w:tblGrid>
            <w:tr w:rsidR="00272776" w:rsidTr="003E18C8">
              <w:trPr>
                <w:gridAfter w:val="1"/>
                <w:wAfter w:w="56" w:type="dxa"/>
                <w:trHeight w:val="1238"/>
              </w:trPr>
              <w:tc>
                <w:tcPr>
                  <w:tcW w:w="653" w:type="dxa"/>
                </w:tcPr>
                <w:p w:rsidR="00272776" w:rsidRPr="00A07858" w:rsidRDefault="00272776" w:rsidP="00272776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7" w:type="dxa"/>
                  <w:gridSpan w:val="3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Миронов</w:t>
                  </w:r>
                </w:p>
                <w:p w:rsidR="00272776" w:rsidRPr="008A7105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A71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Алексей Сергеевич</w:t>
                  </w:r>
                </w:p>
              </w:tc>
              <w:tc>
                <w:tcPr>
                  <w:tcW w:w="284" w:type="dxa"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  <w:gridSpan w:val="2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272776" w:rsidTr="003E18C8">
              <w:trPr>
                <w:gridAfter w:val="1"/>
                <w:wAfter w:w="56" w:type="dxa"/>
                <w:trHeight w:val="627"/>
              </w:trPr>
              <w:tc>
                <w:tcPr>
                  <w:tcW w:w="653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7" w:type="dxa"/>
                  <w:gridSpan w:val="3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Фаткуллов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Расуль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Натфулович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  <w:gridSpan w:val="2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272776" w:rsidTr="003E18C8">
              <w:trPr>
                <w:gridAfter w:val="1"/>
                <w:wAfter w:w="56" w:type="dxa"/>
                <w:trHeight w:val="627"/>
              </w:trPr>
              <w:tc>
                <w:tcPr>
                  <w:tcW w:w="653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7" w:type="dxa"/>
                  <w:gridSpan w:val="3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Хайруллов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Жемель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Небиуллович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  <w:gridSpan w:val="2"/>
                  <w:hideMark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Член ОП УО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10632" w:type="dxa"/>
                  <w:gridSpan w:val="8"/>
                  <w:hideMark/>
                </w:tcPr>
                <w:p w:rsidR="00272776" w:rsidRDefault="00272776" w:rsidP="003E18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272776" w:rsidRDefault="00272776" w:rsidP="003E18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272776" w:rsidRDefault="00272776" w:rsidP="003E18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272776" w:rsidRDefault="00272776" w:rsidP="003E18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lastRenderedPageBreak/>
                    <w:t>Министерство здравоохранения Ульяновской области:</w:t>
                  </w:r>
                </w:p>
                <w:p w:rsidR="00272776" w:rsidRDefault="00272776" w:rsidP="003E18C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A30E0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A30E0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Дегтярь</w:t>
                  </w:r>
                  <w:proofErr w:type="spellEnd"/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Павел Сергеевич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22" w:type="dxa"/>
                  <w:gridSpan w:val="2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Заместитель Председателя Правительства – Министр здравоохранения Ульяновской области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272776" w:rsidRDefault="00272776" w:rsidP="003E18C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Министерство физической культуры и спорта Ульяновской области:</w:t>
            </w:r>
          </w:p>
          <w:p w:rsidR="00272776" w:rsidRDefault="00272776" w:rsidP="003E18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10632" w:type="dxa"/>
              <w:tblLook w:val="01E0"/>
            </w:tblPr>
            <w:tblGrid>
              <w:gridCol w:w="753"/>
              <w:gridCol w:w="3195"/>
              <w:gridCol w:w="362"/>
              <w:gridCol w:w="6322"/>
            </w:tblGrid>
            <w:tr w:rsidR="00272776" w:rsidTr="003E18C8">
              <w:trPr>
                <w:trHeight w:val="627"/>
              </w:trPr>
              <w:tc>
                <w:tcPr>
                  <w:tcW w:w="753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Кузьмин</w:t>
                  </w:r>
                </w:p>
                <w:p w:rsidR="00272776" w:rsidRPr="002931C2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Сергей Сергеевич</w:t>
                  </w:r>
                </w:p>
              </w:tc>
              <w:tc>
                <w:tcPr>
                  <w:tcW w:w="362" w:type="dxa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Министр физической культуры и спорта</w:t>
                  </w:r>
                  <w:r w:rsidRPr="002931C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Ульяновской области</w:t>
                  </w:r>
                </w:p>
              </w:tc>
            </w:tr>
          </w:tbl>
          <w:p w:rsidR="00272776" w:rsidRDefault="00272776" w:rsidP="003E18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272776" w:rsidRDefault="00272776" w:rsidP="003E18C8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Главное управление труда, занятости и социального благополучия Ульяновской области:</w:t>
            </w:r>
          </w:p>
          <w:p w:rsidR="00272776" w:rsidRDefault="00272776" w:rsidP="003E18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10632" w:type="dxa"/>
              <w:tblLook w:val="01E0"/>
            </w:tblPr>
            <w:tblGrid>
              <w:gridCol w:w="753"/>
              <w:gridCol w:w="3195"/>
              <w:gridCol w:w="362"/>
              <w:gridCol w:w="6322"/>
            </w:tblGrid>
            <w:tr w:rsidR="00272776" w:rsidTr="003E18C8">
              <w:trPr>
                <w:trHeight w:val="627"/>
              </w:trPr>
              <w:tc>
                <w:tcPr>
                  <w:tcW w:w="753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Сморода</w:t>
                  </w:r>
                </w:p>
                <w:p w:rsidR="00272776" w:rsidRPr="002931C2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2931C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Екатерина Вячеславовна</w:t>
                  </w:r>
                </w:p>
              </w:tc>
              <w:tc>
                <w:tcPr>
                  <w:tcW w:w="362" w:type="dxa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931C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начальник Главного управления труда, занятости и социального благополучия Ульяновской области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753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Адонин</w:t>
                  </w:r>
                  <w:proofErr w:type="spellEnd"/>
                </w:p>
                <w:p w:rsidR="00272776" w:rsidRPr="002931C2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2931C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Александр Алексеевич</w:t>
                  </w:r>
                </w:p>
              </w:tc>
              <w:tc>
                <w:tcPr>
                  <w:tcW w:w="362" w:type="dxa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2931C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Директор департамента методологии и организации социальных выплат и жилищных субсидий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ГУ труда, занятости и социального благополучия УО</w:t>
                  </w:r>
                </w:p>
              </w:tc>
            </w:tr>
          </w:tbl>
          <w:p w:rsidR="00272776" w:rsidRDefault="00272776" w:rsidP="003E18C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272776" w:rsidRPr="0052314E" w:rsidRDefault="00272776" w:rsidP="003E18C8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231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Приглашенные:</w:t>
            </w:r>
          </w:p>
          <w:p w:rsidR="00272776" w:rsidRPr="0052314E" w:rsidRDefault="00272776" w:rsidP="003E1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0632" w:type="dxa"/>
              <w:tblLook w:val="01E0"/>
            </w:tblPr>
            <w:tblGrid>
              <w:gridCol w:w="656"/>
              <w:gridCol w:w="97"/>
              <w:gridCol w:w="3195"/>
              <w:gridCol w:w="43"/>
              <w:gridCol w:w="286"/>
              <w:gridCol w:w="33"/>
              <w:gridCol w:w="6322"/>
            </w:tblGrid>
            <w:tr w:rsidR="00272776" w:rsidRPr="0052314E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Pr="0052314E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52314E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52314E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Кириллова </w:t>
                  </w:r>
                </w:p>
                <w:p w:rsidR="00272776" w:rsidRPr="0052314E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52314E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Елена Валерьевна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Pr="0052314E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Pr="0052314E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2314E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председатель Ульяновской областной профсоюзной организации работников лесных отраслей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656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5" w:type="dxa"/>
                  <w:gridSpan w:val="3"/>
                </w:tcPr>
                <w:p w:rsidR="00272776" w:rsidRPr="00845625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84562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Колесникова </w:t>
                  </w:r>
                </w:p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Марина Валентиновна</w:t>
                  </w:r>
                </w:p>
              </w:tc>
              <w:tc>
                <w:tcPr>
                  <w:tcW w:w="286" w:type="dxa"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55" w:type="dxa"/>
                  <w:gridSpan w:val="2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Секретарь Общественного совета ГУЗ «Станция скорой медицинской помощи»</w:t>
                  </w:r>
                </w:p>
              </w:tc>
            </w:tr>
            <w:tr w:rsidR="00272776" w:rsidRPr="0052314E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Pr="0052314E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52314E" w:rsidRDefault="00272776" w:rsidP="003E18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 w:rsidRPr="0052314E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Лебедько</w:t>
                  </w:r>
                  <w:proofErr w:type="spellEnd"/>
                  <w:r w:rsidRPr="0052314E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</w:p>
                <w:p w:rsidR="00272776" w:rsidRPr="0052314E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2314E"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Анна Михайловна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Pr="0052314E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52314E"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член Регионального штаба ОНФ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;</w:t>
                  </w:r>
                </w:p>
                <w:p w:rsidR="00272776" w:rsidRPr="0052314E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Главный врач ГУЗ «Ульяновская областная детская клиническая больница имени политического и общественного деятеля Ю.Ф. Горячева», заслуженный врач РФ, доверенное лицо Президента РФ Владимира Путина, член НП «Медицинская Палата Ульяновской области»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DA3100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Мальцева </w:t>
                  </w:r>
                </w:p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Наталья Евгеньевна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заведующий отделом социальной защиты, правовой инспектор труда ЦК профсоюза по Ульяновской области</w:t>
                  </w:r>
                </w:p>
              </w:tc>
            </w:tr>
            <w:tr w:rsidR="00272776" w:rsidTr="003E18C8">
              <w:trPr>
                <w:trHeight w:val="1425"/>
              </w:trPr>
              <w:tc>
                <w:tcPr>
                  <w:tcW w:w="656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5" w:type="dxa"/>
                  <w:gridSpan w:val="3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Оренбургов</w:t>
                  </w:r>
                  <w:proofErr w:type="spellEnd"/>
                </w:p>
                <w:p w:rsidR="00272776" w:rsidRPr="00845625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4562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Антон Александрович</w:t>
                  </w:r>
                </w:p>
              </w:tc>
              <w:tc>
                <w:tcPr>
                  <w:tcW w:w="286" w:type="dxa"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55" w:type="dxa"/>
                  <w:gridSpan w:val="2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Консультант информационно-аналитического отдела департамента правового, кадрового обеспечения и делопроизводства ГУ труда, занятости и социального развития УО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DA3100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Панченко</w:t>
                  </w:r>
                </w:p>
                <w:p w:rsidR="00272776" w:rsidRPr="00176B28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Сергей Викторович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Pr="00176B28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главный врач ГУЗ «Ульяновский областной клинический онкологический диспансер», член НП «Медицинская Палата Ульяновской области»</w:t>
                  </w:r>
                </w:p>
              </w:tc>
            </w:tr>
            <w:tr w:rsidR="00272776" w:rsidRPr="0052314E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Pr="0052314E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52314E" w:rsidRDefault="00272776" w:rsidP="003E18C8">
                  <w:pPr>
                    <w:spacing w:after="0" w:line="240" w:lineRule="atLeast"/>
                    <w:ind w:firstLine="34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2314E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6"/>
                      <w:szCs w:val="26"/>
                      <w:lang w:eastAsia="ru-RU"/>
                    </w:rPr>
                    <w:t>Русяева</w:t>
                  </w:r>
                  <w:proofErr w:type="spellEnd"/>
                </w:p>
                <w:p w:rsidR="00272776" w:rsidRPr="0052314E" w:rsidRDefault="00272776" w:rsidP="003E18C8">
                  <w:pPr>
                    <w:spacing w:after="0" w:line="240" w:lineRule="atLeast"/>
                    <w:ind w:firstLine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2314E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Ирина Ильинична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Pr="0052314E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Pr="0052314E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2314E">
                    <w:rPr>
                      <w:rFonts w:ascii="Times New Roman" w:eastAsia="Times New Roman" w:hAnsi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Заместитель Председателя Областного союза «Федерация профсоюзов Ульяновской области».</w:t>
                  </w:r>
                </w:p>
              </w:tc>
            </w:tr>
            <w:tr w:rsidR="00272776" w:rsidTr="003E18C8">
              <w:trPr>
                <w:trHeight w:val="728"/>
              </w:trPr>
              <w:tc>
                <w:tcPr>
                  <w:tcW w:w="656" w:type="dxa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5" w:type="dxa"/>
                  <w:gridSpan w:val="3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Сауров</w:t>
                  </w:r>
                  <w:proofErr w:type="spellEnd"/>
                </w:p>
                <w:p w:rsidR="00272776" w:rsidRPr="00845625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4562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Геннадий Фёдорович</w:t>
                  </w:r>
                </w:p>
              </w:tc>
              <w:tc>
                <w:tcPr>
                  <w:tcW w:w="286" w:type="dxa"/>
                </w:tcPr>
                <w:p w:rsidR="00272776" w:rsidRDefault="00272776" w:rsidP="003E18C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55" w:type="dxa"/>
                  <w:gridSpan w:val="2"/>
                </w:tcPr>
                <w:p w:rsidR="00272776" w:rsidRDefault="00272776" w:rsidP="003E18C8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shd w:val="clear" w:color="auto" w:fill="FFFFFF"/>
                      <w:lang w:eastAsia="ru-RU"/>
                    </w:rPr>
                    <w:t>Заместитель председателя УРО Всероссийской общественной организации ветеранов (пенсионеров) войны, труда, Вооруженных Сил и правоохранительных органов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DA3100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Сорокина</w:t>
                  </w:r>
                </w:p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Светлана Владимировна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Pr="00176B28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Председатель Ульяновской</w:t>
                  </w: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региональной общественной  организации инвалидов 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членов их семей «Диабетическое</w:t>
                  </w: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об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ъединение», председатель Совета общественных организаций по защите прав</w:t>
                  </w: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пациентов при Министерстве здравоохранения Ульяновской области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DA3100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Филонов</w:t>
                  </w:r>
                </w:p>
                <w:p w:rsidR="00272776" w:rsidRPr="0052314E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Владимир Викторович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Pr="0052314E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Помощник Уполномоченного по противодействию коррупции в УО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DA3100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Цветаева </w:t>
                  </w:r>
                </w:p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76B2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Ирина Германовна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76B2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Член Совета НП «Медицинская Палата Ульяновской области», заведующая организационно-методическим отделом ГУЗ «Областной клинический онкологический диспансер»</w:t>
                  </w:r>
                </w:p>
              </w:tc>
            </w:tr>
            <w:tr w:rsidR="00272776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DA3100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A310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Шарафутдинов</w:t>
                  </w:r>
                  <w:proofErr w:type="spellEnd"/>
                </w:p>
                <w:p w:rsidR="00272776" w:rsidRPr="0052314E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76B2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Марат </w:t>
                  </w:r>
                  <w:proofErr w:type="spellStart"/>
                  <w:r w:rsidRPr="00176B2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Гакифович</w:t>
                  </w:r>
                  <w:proofErr w:type="spellEnd"/>
                </w:p>
              </w:tc>
              <w:tc>
                <w:tcPr>
                  <w:tcW w:w="362" w:type="dxa"/>
                  <w:gridSpan w:val="3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76B2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исполнительный директор НП</w:t>
                  </w:r>
                  <w:r w:rsidR="000B547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76B2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«Медицинская Палата Ульяновской области», заведующий кафедрой онкологии и лучевой диагностики медицинского факультета </w:t>
                  </w:r>
                  <w:proofErr w:type="spellStart"/>
                  <w:r w:rsidRPr="00176B2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ИМЭиФК</w:t>
                  </w:r>
                  <w:proofErr w:type="spellEnd"/>
                  <w:r w:rsidR="000B547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76B2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УлГУ</w:t>
                  </w:r>
                </w:p>
              </w:tc>
            </w:tr>
            <w:tr w:rsidR="00272776" w:rsidRPr="00176B28" w:rsidTr="003E18C8">
              <w:trPr>
                <w:trHeight w:val="627"/>
              </w:trPr>
              <w:tc>
                <w:tcPr>
                  <w:tcW w:w="753" w:type="dxa"/>
                  <w:gridSpan w:val="2"/>
                </w:tcPr>
                <w:p w:rsidR="00272776" w:rsidRDefault="00272776" w:rsidP="0027277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after="0" w:line="240" w:lineRule="auto"/>
                    <w:ind w:left="643" w:hanging="752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5" w:type="dxa"/>
                </w:tcPr>
                <w:p w:rsidR="00272776" w:rsidRPr="00DA3100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Яшина</w:t>
                  </w:r>
                </w:p>
                <w:p w:rsidR="00272776" w:rsidRPr="00176B28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Инна Викторовна</w:t>
                  </w:r>
                </w:p>
              </w:tc>
              <w:tc>
                <w:tcPr>
                  <w:tcW w:w="362" w:type="dxa"/>
                  <w:gridSpan w:val="3"/>
                </w:tcPr>
                <w:p w:rsidR="00272776" w:rsidRDefault="00272776" w:rsidP="003E18C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322" w:type="dxa"/>
                </w:tcPr>
                <w:p w:rsidR="00272776" w:rsidRPr="00176B28" w:rsidRDefault="00272776" w:rsidP="003E18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заведующий отделом организационной </w:t>
                  </w:r>
                  <w:proofErr w:type="gramStart"/>
                  <w:r w:rsidRPr="00DA310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работы Ульяновской областной организации профсоюзов работников здравоохранения</w:t>
                  </w:r>
                  <w:proofErr w:type="gramEnd"/>
                </w:p>
              </w:tc>
            </w:tr>
          </w:tbl>
          <w:p w:rsidR="00272776" w:rsidRDefault="00272776" w:rsidP="003E18C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Аппарат Общественной палаты Ульяновской области:</w:t>
            </w:r>
          </w:p>
          <w:p w:rsidR="00272776" w:rsidRDefault="00272776" w:rsidP="003E18C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272776" w:rsidTr="003E18C8">
        <w:trPr>
          <w:trHeight w:val="633"/>
        </w:trPr>
        <w:tc>
          <w:tcPr>
            <w:tcW w:w="694" w:type="dxa"/>
          </w:tcPr>
          <w:p w:rsidR="00272776" w:rsidRDefault="00272776" w:rsidP="0027277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6" w:type="dxa"/>
            <w:hideMark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Терёхин</w:t>
            </w:r>
          </w:p>
          <w:p w:rsidR="00272776" w:rsidRPr="00B26697" w:rsidRDefault="00272776" w:rsidP="003E18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6697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458" w:type="dxa"/>
          </w:tcPr>
          <w:p w:rsidR="00272776" w:rsidRDefault="00272776" w:rsidP="003E18C8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  <w:hideMark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272776" w:rsidTr="003E18C8">
        <w:trPr>
          <w:trHeight w:val="633"/>
        </w:trPr>
        <w:tc>
          <w:tcPr>
            <w:tcW w:w="694" w:type="dxa"/>
          </w:tcPr>
          <w:p w:rsidR="00272776" w:rsidRDefault="00272776" w:rsidP="0027277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6" w:type="dxa"/>
            <w:hideMark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Курушина</w:t>
            </w:r>
            <w:proofErr w:type="spellEnd"/>
          </w:p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458" w:type="dxa"/>
          </w:tcPr>
          <w:p w:rsidR="00272776" w:rsidRDefault="00272776" w:rsidP="003E18C8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  <w:hideMark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директора ОГКУ «Аппарат Общественной палаты Ульяновской области»</w:t>
            </w:r>
          </w:p>
        </w:tc>
      </w:tr>
      <w:tr w:rsidR="00272776" w:rsidTr="003E18C8">
        <w:trPr>
          <w:trHeight w:val="633"/>
        </w:trPr>
        <w:tc>
          <w:tcPr>
            <w:tcW w:w="694" w:type="dxa"/>
          </w:tcPr>
          <w:p w:rsidR="00272776" w:rsidRDefault="00272776" w:rsidP="0027277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6" w:type="dxa"/>
            <w:hideMark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Ермолаева</w:t>
            </w:r>
          </w:p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458" w:type="dxa"/>
          </w:tcPr>
          <w:p w:rsidR="00272776" w:rsidRDefault="00272776" w:rsidP="003E18C8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  <w:hideMark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272776" w:rsidTr="003E18C8">
        <w:trPr>
          <w:trHeight w:val="633"/>
        </w:trPr>
        <w:tc>
          <w:tcPr>
            <w:tcW w:w="694" w:type="dxa"/>
          </w:tcPr>
          <w:p w:rsidR="00272776" w:rsidRDefault="00272776" w:rsidP="0027277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6" w:type="dxa"/>
            <w:hideMark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Хамбикова</w:t>
            </w:r>
            <w:proofErr w:type="spellEnd"/>
          </w:p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Анастасия Геннадиевна</w:t>
            </w:r>
          </w:p>
        </w:tc>
        <w:tc>
          <w:tcPr>
            <w:tcW w:w="458" w:type="dxa"/>
          </w:tcPr>
          <w:p w:rsidR="00272776" w:rsidRDefault="00272776" w:rsidP="003E18C8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  <w:hideMark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  <w:tr w:rsidR="00272776" w:rsidTr="003E18C8">
        <w:trPr>
          <w:trHeight w:val="633"/>
        </w:trPr>
        <w:tc>
          <w:tcPr>
            <w:tcW w:w="694" w:type="dxa"/>
          </w:tcPr>
          <w:p w:rsidR="00272776" w:rsidRDefault="00272776" w:rsidP="0027277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643" w:hanging="75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6" w:type="dxa"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Степанова</w:t>
            </w:r>
          </w:p>
          <w:p w:rsidR="00272776" w:rsidRPr="00B26697" w:rsidRDefault="00272776" w:rsidP="003E18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6697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458" w:type="dxa"/>
          </w:tcPr>
          <w:p w:rsidR="00272776" w:rsidRDefault="00272776" w:rsidP="003E18C8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</w:tcPr>
          <w:p w:rsidR="00272776" w:rsidRDefault="00272776" w:rsidP="003E18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организационного обеспечения деятельности ОП УО</w:t>
            </w:r>
          </w:p>
        </w:tc>
      </w:tr>
    </w:tbl>
    <w:p w:rsidR="00272776" w:rsidRDefault="00272776" w:rsidP="00272776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272776" w:rsidRPr="0057220A" w:rsidRDefault="00272776" w:rsidP="00272776">
      <w:pPr>
        <w:pStyle w:val="a3"/>
        <w:numPr>
          <w:ilvl w:val="0"/>
          <w:numId w:val="2"/>
        </w:numPr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57220A"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Отчёт о деятельности заместителя Председателя Правительства - Министра здравоохранения Ульяновской области </w:t>
      </w:r>
      <w:proofErr w:type="spellStart"/>
      <w:r w:rsidRPr="0057220A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Дегтяря</w:t>
      </w:r>
      <w:proofErr w:type="spellEnd"/>
      <w:r w:rsidRPr="0057220A">
        <w:rPr>
          <w:rFonts w:ascii="Times New Roman" w:eastAsia="Andale Sans UI" w:hAnsi="Times New Roman"/>
          <w:kern w:val="2"/>
          <w:sz w:val="26"/>
          <w:szCs w:val="26"/>
          <w:lang w:eastAsia="ar-SA"/>
        </w:rPr>
        <w:t xml:space="preserve"> Павла Сергеевича за 2015 год.</w:t>
      </w:r>
    </w:p>
    <w:p w:rsidR="00272776" w:rsidRDefault="00272776" w:rsidP="00272776">
      <w:pPr>
        <w:tabs>
          <w:tab w:val="left" w:pos="993"/>
        </w:tabs>
        <w:spacing w:before="100" w:beforeAutospacing="1" w:after="100" w:afterAutospacing="1" w:line="240" w:lineRule="auto"/>
        <w:ind w:firstLine="99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Девяткина Т.В.:</w:t>
      </w:r>
      <w:r w:rsidRPr="00A34D6A">
        <w:rPr>
          <w:rFonts w:ascii="Times New Roman" w:hAnsi="Times New Roman"/>
          <w:sz w:val="26"/>
          <w:szCs w:val="26"/>
        </w:rPr>
        <w:t xml:space="preserve"> Вступительное слово.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t>Дегтярь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П.С.: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 xml:space="preserve">Отметил, что основной задачей отрасли здравоохранения в прошедшем году стало повышение средней продолжительности жизни ульяновцев. Удалось добиться позитивных результатов – на сегодняшний день в области этот </w:t>
      </w:r>
      <w:r w:rsidRPr="00A34D6A">
        <w:rPr>
          <w:rFonts w:ascii="Times New Roman" w:hAnsi="Times New Roman"/>
          <w:sz w:val="26"/>
          <w:szCs w:val="26"/>
        </w:rPr>
        <w:lastRenderedPageBreak/>
        <w:t>показатель составляет 71,8 лет, за счет снижения общей смертности населения стабилизировалась и демографическая ситуация.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sz w:val="26"/>
          <w:szCs w:val="26"/>
        </w:rPr>
        <w:t xml:space="preserve">«Одним из важнейших направлений моей деятельности является содействие укреплению материально-технической базы и развитие сети объектов здравоохранения. </w:t>
      </w:r>
      <w:proofErr w:type="gramStart"/>
      <w:r w:rsidRPr="00A34D6A">
        <w:rPr>
          <w:rFonts w:ascii="Times New Roman" w:hAnsi="Times New Roman"/>
          <w:sz w:val="26"/>
          <w:szCs w:val="26"/>
        </w:rPr>
        <w:t>В 2015 г. активно шло строительство в г. Ульяновске перинатального центра на 150 коек – на сегодня работы завершены примерно на 50%. Ремонт осуществлен в 59 учреждениях, в том числе в палатном корпусе с пищеблоком ГУЗ «Ульяновский областной клинический госпиталь ветеранов войн» на сумму 14,9 миллионов рублей, в здании ГУЗ Городская поликлиника №1 имени С.М. Кирова (корпус №2) по ул</w:t>
      </w:r>
      <w:proofErr w:type="gramEnd"/>
      <w:r w:rsidRPr="00A34D6A">
        <w:rPr>
          <w:rFonts w:ascii="Times New Roman" w:hAnsi="Times New Roman"/>
          <w:sz w:val="26"/>
          <w:szCs w:val="26"/>
        </w:rPr>
        <w:t xml:space="preserve">. К. Либкнехта, 17/5 — на сумму 15,8 млн. руб., в дневном стационаре по ул. Кирова, 20 — на 7,1 млн. руб., в поликлинике </w:t>
      </w:r>
      <w:proofErr w:type="spellStart"/>
      <w:r w:rsidRPr="00A34D6A">
        <w:rPr>
          <w:rFonts w:ascii="Times New Roman" w:hAnsi="Times New Roman"/>
          <w:sz w:val="26"/>
          <w:szCs w:val="26"/>
        </w:rPr>
        <w:t>Базарносызганской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районной больницы – на 10,8 млн. руб., в помещениях по адресу: ул. генерала Мельникова, 20 – на 45,8 млн. руб. (для открытия детской поликлиники в микрорайоне «</w:t>
      </w:r>
      <w:proofErr w:type="spellStart"/>
      <w:r w:rsidRPr="00A34D6A">
        <w:rPr>
          <w:rFonts w:ascii="Times New Roman" w:hAnsi="Times New Roman"/>
          <w:sz w:val="26"/>
          <w:szCs w:val="26"/>
        </w:rPr>
        <w:t>Юго-Запад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»)». Отметил также, что  в прошлом году отремонтировано 7 фельдшерско-акушерских пунктов и 1 врачебная амбулатория в муниципальных образованиях, 11 </w:t>
      </w:r>
      <w:proofErr w:type="spellStart"/>
      <w:r w:rsidRPr="00A34D6A">
        <w:rPr>
          <w:rFonts w:ascii="Times New Roman" w:hAnsi="Times New Roman"/>
          <w:sz w:val="26"/>
          <w:szCs w:val="26"/>
        </w:rPr>
        <w:t>ФАПов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газифицировано. В рамках программы «Доступная среда» в 5 учреждениях здравоохранения выполнена установка пандусов и лифтов, разработана проектно-сметная документация для ремонта кровли здания Ульяновского областного </w:t>
      </w:r>
      <w:proofErr w:type="spellStart"/>
      <w:r w:rsidRPr="00A34D6A">
        <w:rPr>
          <w:rFonts w:ascii="Times New Roman" w:hAnsi="Times New Roman"/>
          <w:sz w:val="26"/>
          <w:szCs w:val="26"/>
        </w:rPr>
        <w:t>ХОСПИСа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и установки узла учета тепловой энергии на сумму 148,76 тыс. рублей.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sz w:val="26"/>
          <w:szCs w:val="26"/>
        </w:rPr>
        <w:t xml:space="preserve">Активно в 2015 году шла реализация проектов государственно-частного партнерства. В рамках проектов проводились работы по открытию нового филиала работающих в системе ОМС мини-клиник «Полис» в микрорайоне «Репино», на базе Новоспасской районной больницы созданы офтальмологический центр и отделение </w:t>
      </w:r>
      <w:proofErr w:type="spellStart"/>
      <w:r w:rsidRPr="00A34D6A">
        <w:rPr>
          <w:rFonts w:ascii="Times New Roman" w:hAnsi="Times New Roman"/>
          <w:sz w:val="26"/>
          <w:szCs w:val="26"/>
        </w:rPr>
        <w:t>диализного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центра, приобретены компьютерный томограф и </w:t>
      </w:r>
      <w:proofErr w:type="spellStart"/>
      <w:r w:rsidRPr="00A34D6A">
        <w:rPr>
          <w:rFonts w:ascii="Times New Roman" w:hAnsi="Times New Roman"/>
          <w:sz w:val="26"/>
          <w:szCs w:val="26"/>
        </w:rPr>
        <w:t>маммограф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, на базе Центральной городской клинической больницы появилось отделение </w:t>
      </w:r>
      <w:proofErr w:type="spellStart"/>
      <w:r w:rsidRPr="00A34D6A">
        <w:rPr>
          <w:rFonts w:ascii="Times New Roman" w:hAnsi="Times New Roman"/>
          <w:sz w:val="26"/>
          <w:szCs w:val="26"/>
        </w:rPr>
        <w:t>рентгенэндоваскулярной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диагностики и лечения.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sz w:val="26"/>
          <w:szCs w:val="26"/>
        </w:rPr>
        <w:t xml:space="preserve">Особо подчеркнул, что в 2015 г. в систему здравоохранения Ульяновской области пришли 243 </w:t>
      </w:r>
      <w:proofErr w:type="gramStart"/>
      <w:r w:rsidRPr="00A34D6A">
        <w:rPr>
          <w:rFonts w:ascii="Times New Roman" w:hAnsi="Times New Roman"/>
          <w:sz w:val="26"/>
          <w:szCs w:val="26"/>
        </w:rPr>
        <w:t>новых</w:t>
      </w:r>
      <w:proofErr w:type="gramEnd"/>
      <w:r w:rsidRPr="00A34D6A">
        <w:rPr>
          <w:rFonts w:ascii="Times New Roman" w:hAnsi="Times New Roman"/>
          <w:sz w:val="26"/>
          <w:szCs w:val="26"/>
        </w:rPr>
        <w:t xml:space="preserve"> специалиста с высшим и 343 — со средним профессиональным медицинским образованием. Повышение квалификации прошли 391 специалист с ВПО и 138 сотрудников среднего звена. Среднемесячная заработная плата по отрасли составила 17 496 рублей: 30782 руб. – для врачей с высшим образованием, 17 786 – руб. – для среднего и 11 257 руб. – для младшего медперсонала.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sz w:val="26"/>
          <w:szCs w:val="26"/>
        </w:rPr>
        <w:t xml:space="preserve">«Всего за прошедший год в медицинских организациях Ульяновской области оказано 1527 услуг высокотехнологичной помощи на общую сумму порядка 28,6 млн. руб. Осуществлена плановая диспансеризация более 191 тысячи человек, или 20% взрослых жителей региона. На предоставление льготной лекарственной помощи отдельным категориям граждан было предусмотрено 1159,3 млн. руб. Региональным льготникам отпущены препараты </w:t>
      </w:r>
      <w:proofErr w:type="gramStart"/>
      <w:r w:rsidRPr="00A34D6A">
        <w:rPr>
          <w:rFonts w:ascii="Times New Roman" w:hAnsi="Times New Roman"/>
          <w:sz w:val="26"/>
          <w:szCs w:val="26"/>
        </w:rPr>
        <w:t>по</w:t>
      </w:r>
      <w:proofErr w:type="gramEnd"/>
      <w:r w:rsidRPr="00A34D6A">
        <w:rPr>
          <w:rFonts w:ascii="Times New Roman" w:hAnsi="Times New Roman"/>
          <w:sz w:val="26"/>
          <w:szCs w:val="26"/>
        </w:rPr>
        <w:t xml:space="preserve"> более </w:t>
      </w:r>
      <w:proofErr w:type="gramStart"/>
      <w:r w:rsidRPr="00A34D6A">
        <w:rPr>
          <w:rFonts w:ascii="Times New Roman" w:hAnsi="Times New Roman"/>
          <w:sz w:val="26"/>
          <w:szCs w:val="26"/>
        </w:rPr>
        <w:t>чем</w:t>
      </w:r>
      <w:proofErr w:type="gramEnd"/>
      <w:r w:rsidRPr="00A34D6A">
        <w:rPr>
          <w:rFonts w:ascii="Times New Roman" w:hAnsi="Times New Roman"/>
          <w:sz w:val="26"/>
          <w:szCs w:val="26"/>
        </w:rPr>
        <w:t xml:space="preserve"> 228 тысячам рецептов, средняя стоимость одного бесплатного рецепта составляла 1321,15 руб. (в 2014 г. – 760 руб.). Что касается исполнения Территориальной программы государственных гарантий в 2015 году в Ульяновской области, отмечу, что обеспеченность населения амбулаторно-поликлиническими учреждениями составила 240 на 10 тысяч населения, объемы оказания неотложной врачебной и доврачебной медицинской помощи зафиксированы на уровне более 500 тыс. посещений».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Девяткина Т.В.: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 xml:space="preserve">Напомнила докладчику и всем собравшимся о том, что по итогам слушания его отчета за предыдущий период членами региональной Палаты сформулировано немало актуальных вопросов. «Часть из них касались порядка оказания первичной помощи сельским жителям. Как сообщают многие граждане, </w:t>
      </w:r>
      <w:proofErr w:type="spellStart"/>
      <w:r w:rsidRPr="00A34D6A">
        <w:rPr>
          <w:rFonts w:ascii="Times New Roman" w:hAnsi="Times New Roman"/>
          <w:sz w:val="26"/>
          <w:szCs w:val="26"/>
        </w:rPr>
        <w:t>подворовые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обходы сотрудники </w:t>
      </w:r>
      <w:proofErr w:type="spellStart"/>
      <w:r w:rsidRPr="00A34D6A">
        <w:rPr>
          <w:rFonts w:ascii="Times New Roman" w:hAnsi="Times New Roman"/>
          <w:sz w:val="26"/>
          <w:szCs w:val="26"/>
        </w:rPr>
        <w:t>ФАПов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осуществляют, но делают это зачастую формально. В то же время не секрет, что позднее выявление сердечнососудистых и онкологических заболеваний, туберкулеза в муниципальных образованиях приводит к увеличению смертности в регионе в целом. Хочется узнать, какие шаги предпринимаются для решения этой проблемы».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lastRenderedPageBreak/>
        <w:t>Дегтярь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П.С.: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 xml:space="preserve">Рассказал, что Министерство здравоохранения региона предпринимает в данном направлении следующие меры: в труднодоступных поселениях, где проживают менее 100 человек, полностью сохранена сеть фельдшерско-акушерских пунктов, на 2016 г. запланировано создание 10 новых </w:t>
      </w:r>
      <w:proofErr w:type="spellStart"/>
      <w:r w:rsidRPr="00A34D6A">
        <w:rPr>
          <w:rFonts w:ascii="Times New Roman" w:hAnsi="Times New Roman"/>
          <w:sz w:val="26"/>
          <w:szCs w:val="26"/>
        </w:rPr>
        <w:t>ФАПов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и двух амбулаторий. Кроме того, в регионе сформировано 28 мобильных бригад, осмотревших более 96 тысяч жителей малочисленных сел, что позволило добиться положительной динамики выявления сердечнососудистых и онкологических заболеваний. На каждом терапевтическом участке ведется регулярный мониторинг смертности и в случае резкого увеличения показателя сотрудники Минздрава разбираются в его причинах.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Девяткина Т.В.:</w:t>
      </w:r>
      <w:r w:rsidR="000B5470">
        <w:rPr>
          <w:rFonts w:ascii="Times New Roman" w:hAnsi="Times New Roman"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Предложила продолжить решать вопрос и в будущем, в частности, поставить ее на повестку дня одной из ближайших сессий недавно обновленного Совета при Губернаторе Ульяновской области по развитию гражданского общества и правам человека. Обратилась также к Министру физической культуры и спорта Кузьмину С.С. и подчеркнула необходимость уделить особое внимание детям и подросткам, посещающим специальные медицинские группы, отметив, что во многих случаях физкультурой и спортом они не занимаются вообще, а во время уроков просто сидят на скамейках.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Кузьмин С.С.: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Отметил, что многое зависит от мотивации конкретного человека, и выразил надежду, что способствовать популяризации физической культуры способно введение Всероссийского физкультурно-спортивного комплекса «Готов к труду и обороне».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t>Лебедько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А.М.: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Дает ли сдача нормативов ГТО дополнительные преимущества абитуриентам при поступлении в вузы?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Кузьмин С.С.: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Ответил утвердительно, добавив, что за это начисляются дополнительные баллы.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Девяткина Т.В.:</w:t>
      </w:r>
      <w:r w:rsidRPr="00A34D6A">
        <w:rPr>
          <w:rFonts w:ascii="Times New Roman" w:hAnsi="Times New Roman"/>
          <w:sz w:val="26"/>
          <w:szCs w:val="26"/>
        </w:rPr>
        <w:t xml:space="preserve"> «Известно, что из 2183 школьников, стоящих сегодня на учете в детской комнате милиции, регулярно занимаются спортом всего 32. О данной категории, как и о тех ребятах, кто посещает </w:t>
      </w:r>
      <w:proofErr w:type="spellStart"/>
      <w:r w:rsidRPr="00A34D6A">
        <w:rPr>
          <w:rFonts w:ascii="Times New Roman" w:hAnsi="Times New Roman"/>
          <w:sz w:val="26"/>
          <w:szCs w:val="26"/>
        </w:rPr>
        <w:t>спецмедгруппы</w:t>
      </w:r>
      <w:proofErr w:type="spellEnd"/>
      <w:r w:rsidRPr="00A34D6A">
        <w:rPr>
          <w:rFonts w:ascii="Times New Roman" w:hAnsi="Times New Roman"/>
          <w:sz w:val="26"/>
          <w:szCs w:val="26"/>
        </w:rPr>
        <w:t>, профильное министерство тоже заботы пока не проявляет. Им негде и не с кем заниматься – не хватает как компетентных специалистов, так и спортивных залов».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t>Дегтярь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П.С.:</w:t>
      </w:r>
      <w:r w:rsidRPr="00A34D6A">
        <w:rPr>
          <w:rFonts w:ascii="Times New Roman" w:hAnsi="Times New Roman"/>
          <w:sz w:val="26"/>
          <w:szCs w:val="26"/>
        </w:rPr>
        <w:t xml:space="preserve"> Согласился с приведенными доводами и заверил присутствовавших, что возьмет эту тему под личный контроль и инициирует проведение межведомственного совещания с участием представителей региональных Министе</w:t>
      </w:r>
      <w:proofErr w:type="gramStart"/>
      <w:r w:rsidRPr="00A34D6A">
        <w:rPr>
          <w:rFonts w:ascii="Times New Roman" w:hAnsi="Times New Roman"/>
          <w:sz w:val="26"/>
          <w:szCs w:val="26"/>
        </w:rPr>
        <w:t>рств здр</w:t>
      </w:r>
      <w:proofErr w:type="gramEnd"/>
      <w:r w:rsidRPr="00A34D6A">
        <w:rPr>
          <w:rFonts w:ascii="Times New Roman" w:hAnsi="Times New Roman"/>
          <w:sz w:val="26"/>
          <w:szCs w:val="26"/>
        </w:rPr>
        <w:t>авоохранения, физической культуры и спорта, образования и науки.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Миронов А.С.: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Выдаются ли в Ульяновской области специальные сертификаты на лечение больных с наркотической зависимостью?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t>Дегтярь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П.С.: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Сообщил, что подобная практика в регионе распространена. По его словам, также заложены средства на разработку проектно-сметной документации на строительство специализированного загородного реабилитационного центра.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Ильина С.Н.:</w:t>
      </w:r>
      <w:r w:rsidRPr="00A34D6A">
        <w:rPr>
          <w:rFonts w:ascii="Times New Roman" w:hAnsi="Times New Roman"/>
          <w:sz w:val="26"/>
          <w:szCs w:val="26"/>
        </w:rPr>
        <w:t xml:space="preserve"> Поинтересовалась о причинах недавнего введения в ульяновском Дворце спорта «Волга-Спорт-Арена» единого билета, включающего оплату допуска на лед, проката коньков, их заточки и стакана чая, что противоречит российскому закону о защите прав потребителей, запрещающему навязывать гражданам какие-либо услуги,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t>Дегтярь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П.С.: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Заверил о том, что вмешается и проконтролирует ситуацию.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Хайруллов Ж.Н.: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Попросил уточнить, оплачиваются ли по полисам ОМС услуги по компьютерной томографии (КТ) и имеется ли в регионе база данных по трансплантации.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t>Дегтярь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П.С.:</w:t>
      </w:r>
      <w:r w:rsidRPr="00A34D6A">
        <w:rPr>
          <w:rFonts w:ascii="Times New Roman" w:hAnsi="Times New Roman"/>
          <w:sz w:val="26"/>
          <w:szCs w:val="26"/>
        </w:rPr>
        <w:t xml:space="preserve"> «Услугу КТ можно при наличии показаний бесплатно получить как в государственных, так и в частных медицинских учреждениях, входящих в систему обязательного медицинского страхования. Что касается трансплантологии, информирую, что профильные базы данных имеются пока лишь в нескольких крупных центрах федерального значения. Есть планы по развитию отрасли на территории нашего региона, однако пока на это недостаточно средств»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lastRenderedPageBreak/>
        <w:t>Фаткуллов Р.Н.: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Задал вопрос о выделении молельной комнаты для мусульман в Ульяновском областном клиническом госпитале ветеранов воин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t>Дегтярь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П.С.: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Сообщил, что эта задача вполне решаема.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Твердохлеб Т.Е.: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 xml:space="preserve">Поделилась мнением, что в последние годы качество медицинского осмотра педагогов снизилось, в частности, не организуется их прием </w:t>
      </w:r>
      <w:proofErr w:type="spellStart"/>
      <w:r w:rsidRPr="00A34D6A">
        <w:rPr>
          <w:rFonts w:ascii="Times New Roman" w:hAnsi="Times New Roman"/>
          <w:sz w:val="26"/>
          <w:szCs w:val="26"/>
        </w:rPr>
        <w:t>узкопрофильными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специалистами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t>Дегтярь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П.С.: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Ответил, что изучит данный вопрос.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Филонов В.В.:</w:t>
      </w:r>
      <w:r w:rsidRPr="00A34D6A">
        <w:rPr>
          <w:rFonts w:ascii="Times New Roman" w:hAnsi="Times New Roman"/>
          <w:sz w:val="26"/>
          <w:szCs w:val="26"/>
        </w:rPr>
        <w:t xml:space="preserve"> «С 2014 года мы разбираем вопросы, связанные со сдачей в аренду помещений в учреждениях здравоохранения. Зафиксированы случаи заключения договоров в обход процедуры торгов и иные нарушения. К примеру, в здании Детской городской клинической больницы №1 г. Ульяновска, что на ул. Сурова, срок действия договора аренды площадей частной фирмой закончился в июне 2015 г., однако она </w:t>
      </w:r>
      <w:proofErr w:type="gramStart"/>
      <w:r w:rsidRPr="00A34D6A">
        <w:rPr>
          <w:rFonts w:ascii="Times New Roman" w:hAnsi="Times New Roman"/>
          <w:sz w:val="26"/>
          <w:szCs w:val="26"/>
        </w:rPr>
        <w:t>работает там и по сей</w:t>
      </w:r>
      <w:proofErr w:type="gramEnd"/>
      <w:r w:rsidRPr="00A34D6A">
        <w:rPr>
          <w:rFonts w:ascii="Times New Roman" w:hAnsi="Times New Roman"/>
          <w:sz w:val="26"/>
          <w:szCs w:val="26"/>
        </w:rPr>
        <w:t xml:space="preserve"> день».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34D6A">
        <w:rPr>
          <w:rFonts w:ascii="Times New Roman" w:hAnsi="Times New Roman"/>
          <w:sz w:val="26"/>
          <w:szCs w:val="26"/>
        </w:rPr>
        <w:t xml:space="preserve">опросил </w:t>
      </w:r>
      <w:proofErr w:type="spellStart"/>
      <w:r>
        <w:rPr>
          <w:rFonts w:ascii="Times New Roman" w:hAnsi="Times New Roman"/>
          <w:sz w:val="26"/>
          <w:szCs w:val="26"/>
        </w:rPr>
        <w:t>Дегтяря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П.С. рассказать, планируется ли ввести в структуре Министерства здравоохранения Ульяновской области должность сотрудника, ответственного за профилактику коррупции, как это было сделано в региональном Министерстве строительства, жилищно-коммунального комплекса и транспорта, а также дать свою оценку деятельности </w:t>
      </w:r>
      <w:proofErr w:type="spellStart"/>
      <w:r w:rsidRPr="00A34D6A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комиссии при Минздраве.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4D6A">
        <w:rPr>
          <w:rFonts w:ascii="Times New Roman" w:hAnsi="Times New Roman"/>
          <w:b/>
          <w:sz w:val="26"/>
          <w:szCs w:val="26"/>
        </w:rPr>
        <w:t>Дегтярь</w:t>
      </w:r>
      <w:proofErr w:type="spellEnd"/>
      <w:r w:rsidRPr="00A34D6A">
        <w:rPr>
          <w:rFonts w:ascii="Times New Roman" w:hAnsi="Times New Roman"/>
          <w:b/>
          <w:sz w:val="26"/>
          <w:szCs w:val="26"/>
        </w:rPr>
        <w:t xml:space="preserve"> П.С.:</w:t>
      </w:r>
      <w:r w:rsidRPr="00A34D6A">
        <w:rPr>
          <w:rFonts w:ascii="Times New Roman" w:hAnsi="Times New Roman"/>
          <w:sz w:val="26"/>
          <w:szCs w:val="26"/>
        </w:rPr>
        <w:t xml:space="preserve"> «При нашем ведомстве создано структурное подразделение, работающее над вопросами сдачи в аренду помещений, и в случае выявления специалистами фактов нарушения главными врачами медучреждений законодательства они отстраняются от работы. Недавно поставлен дополнительный барьер – ни одно из помещений теперь не передается в аренду без проведения проверки Департаментом государственного имущества и земельных отношений Ульяновской области. В ситуации с больницей на </w:t>
      </w:r>
      <w:proofErr w:type="gramStart"/>
      <w:r w:rsidRPr="00A34D6A">
        <w:rPr>
          <w:rFonts w:ascii="Times New Roman" w:hAnsi="Times New Roman"/>
          <w:sz w:val="26"/>
          <w:szCs w:val="26"/>
        </w:rPr>
        <w:t>Сурова</w:t>
      </w:r>
      <w:proofErr w:type="gramEnd"/>
      <w:r w:rsidRPr="00A34D6A">
        <w:rPr>
          <w:rFonts w:ascii="Times New Roman" w:hAnsi="Times New Roman"/>
          <w:sz w:val="26"/>
          <w:szCs w:val="26"/>
        </w:rPr>
        <w:t xml:space="preserve"> имеются определенные правовые коллизии, и вероятно, она будет рассматриваться с суде. Что касается приема отдельного сотрудника, ответственного за противодействие коррупции, сообщаю, что в этом Министерству здравоохранения было отказано ввиду необходимости оптимизации кадров. Данное направление курирует директор Департамента правового, кадрового обеспечения и делопроизводства Минздрава Евгений Макаров. Наконец, некоторое сокращение числа заседаний нашей </w:t>
      </w:r>
      <w:proofErr w:type="spellStart"/>
      <w:r w:rsidRPr="00A34D6A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комиссии объясняется активизацией работы Комиссии по повышению эффективности бюджетных закупок при министерстве, чья деятельность сегодня снимает часть проблем».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Ярош В.Ф.: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Обозначил еще несколько тем, в отношении которых, по его мнению, Министру и Министерству необходимо активизировать работу. Отметил, что, несмотря на введение системы электронной регистратуры, очередь на прием к врачам в поликлиниках не стала меньше. Кроме того, во многих учреждениях здравоохранения лаборатории теперь не работают по принципу «одного окна», что создает пациентам неудобства при сдаче анализов. Вызывает беспокойство и изменение списка препаратов, выдаваемых по льготным рецептам, в результате чего, к примеру, из пяти необходимых лекарств ему лично, как обывателю, в аптеке недавно удалось получить только два. Обратил особое внимание к ранее неоднократно озвученному вопросу о необходимости организации для руководителей учреждений здравоохранения, образования, культуры, спорта, соцзащиты и т.д. курсов для их обучения основам содержания зданий, благоустройства территорий и иным полезным знаниям в сфере ЖКХ.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Сорокина С.В.: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Подчеркнула, что, несмотря на ежегодное увеличение финансирования лекарственного обеспечения льготных категорий граждан, в течение последних двух лет в регионе наблюдается устойчивая нехватка жизненно необходимых препаратов для лечения хронических заболеваний. Данное ухудшение связывает с переводом в 2014 г. финансирования пациентов с редкими (</w:t>
      </w:r>
      <w:proofErr w:type="spellStart"/>
      <w:r w:rsidRPr="00A34D6A">
        <w:rPr>
          <w:rFonts w:ascii="Times New Roman" w:hAnsi="Times New Roman"/>
          <w:sz w:val="26"/>
          <w:szCs w:val="26"/>
        </w:rPr>
        <w:t>орфанными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) заболеваниями на региональный уровень. Сегодня доля средств, выделяемых на поддержание их жизни, составляет около 48% от суммы, направляемой на лекарственное обеспечение всех </w:t>
      </w:r>
      <w:r w:rsidRPr="00A34D6A">
        <w:rPr>
          <w:rFonts w:ascii="Times New Roman" w:hAnsi="Times New Roman"/>
          <w:sz w:val="26"/>
          <w:szCs w:val="26"/>
        </w:rPr>
        <w:lastRenderedPageBreak/>
        <w:t>льготников области. В результате не хватает денег на недорогие, но жизненно необходимые пожилым людям препараты. Многие из них не могут позволить себе купить их по полной стоимости, что ведет к ухудшению состояния и, в конечном итоге, к росту смертности среди данной категории. Обратилась к Общественной палате Ульяновской области с предложением подготовить обращение на имя Губернатора региона с указанием на крайнюю необходимость в 2016 году выделить дополнительные средства на закупку препаратов для всех граждан, имеющих право на бесплатную лекарственную помощь.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Члены ОП УО:</w:t>
      </w:r>
      <w:r w:rsidRPr="00A34D6A">
        <w:rPr>
          <w:rFonts w:ascii="Times New Roman" w:hAnsi="Times New Roman"/>
          <w:sz w:val="26"/>
          <w:szCs w:val="26"/>
        </w:rPr>
        <w:t xml:space="preserve"> Поддержали призыв председателя УРОО «Диабетическое объединение».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Девяткина Т.В.: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>Проинформировала, что в адрес ОП УО недавно поступило письмо от Общественной палаты г. Димитровграда, которая, проработав тот же вопрос, выступила с предложением об установлении ответственности для должностных лиц за отсутствие в аптеках лекарств, отпускаемых по льготным рецептам.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Караулова В.Г.: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 xml:space="preserve">Поддержала инициативу Девяткиной Т.В. об организации Общественной палатой обсуждения темы, касающейся работы органов опеки и попечительства в регионе, на которые в последнее время поступает немалое количество жалоб от граждан. «Из сегодняшнего отчета видно, что определенные позитивные тенденции в сфере здравоохранения в регионе имеются, однако и объективные проблемы налицо. Поддержу коллег в том, что необходимо совершенствовать работу первичного медицинского звена и усиливать </w:t>
      </w:r>
      <w:proofErr w:type="gramStart"/>
      <w:r w:rsidRPr="00A34D6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4D6A">
        <w:rPr>
          <w:rFonts w:ascii="Times New Roman" w:hAnsi="Times New Roman"/>
          <w:sz w:val="26"/>
          <w:szCs w:val="26"/>
        </w:rPr>
        <w:t xml:space="preserve"> сотрудниками со стороны руководителей учреждений здравоохранения».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Девяткина Т.В.: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34D6A">
        <w:rPr>
          <w:rFonts w:ascii="Times New Roman" w:hAnsi="Times New Roman"/>
          <w:sz w:val="26"/>
          <w:szCs w:val="26"/>
        </w:rPr>
        <w:t xml:space="preserve">При поддержке коллег объявила, что все озвученные в ходе мероприятия вопросы будут направлены в адрес докладчика для подготовки детальных ответов, которые планируется рассмотреть на одном из ближайших заседаний Совета ОП УО. Учитывая большое количество проблем и задач в курируемых </w:t>
      </w:r>
      <w:proofErr w:type="spellStart"/>
      <w:r>
        <w:rPr>
          <w:rFonts w:ascii="Times New Roman" w:hAnsi="Times New Roman"/>
          <w:sz w:val="26"/>
          <w:szCs w:val="26"/>
        </w:rPr>
        <w:t>Дегтярем</w:t>
      </w:r>
      <w:proofErr w:type="spellEnd"/>
      <w:r>
        <w:rPr>
          <w:rFonts w:ascii="Times New Roman" w:hAnsi="Times New Roman"/>
          <w:sz w:val="26"/>
          <w:szCs w:val="26"/>
        </w:rPr>
        <w:t xml:space="preserve"> П.С. </w:t>
      </w:r>
      <w:r w:rsidRPr="00A34D6A">
        <w:rPr>
          <w:rFonts w:ascii="Times New Roman" w:hAnsi="Times New Roman"/>
          <w:sz w:val="26"/>
          <w:szCs w:val="26"/>
        </w:rPr>
        <w:t xml:space="preserve">отраслях и их актуальность, региональная Палата ставит данное направление на особый контроль. Предложила признать работу заместителя Председателя Правительства Ульяновской области </w:t>
      </w:r>
      <w:proofErr w:type="spellStart"/>
      <w:r w:rsidRPr="00A34D6A">
        <w:rPr>
          <w:rFonts w:ascii="Times New Roman" w:hAnsi="Times New Roman"/>
          <w:sz w:val="26"/>
          <w:szCs w:val="26"/>
        </w:rPr>
        <w:t>Дегтяря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П.С. в 2015 году удовлетворительной</w:t>
      </w:r>
    </w:p>
    <w:p w:rsidR="00272776" w:rsidRPr="00A34D6A" w:rsidRDefault="00272776" w:rsidP="002727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4D6A">
        <w:rPr>
          <w:rFonts w:ascii="Times New Roman" w:hAnsi="Times New Roman"/>
          <w:b/>
          <w:sz w:val="26"/>
          <w:szCs w:val="26"/>
        </w:rPr>
        <w:t>Совет ОП УО:</w:t>
      </w:r>
      <w:r w:rsidRPr="00A34D6A">
        <w:rPr>
          <w:rFonts w:ascii="Times New Roman" w:hAnsi="Times New Roman"/>
          <w:sz w:val="26"/>
          <w:szCs w:val="26"/>
        </w:rPr>
        <w:t xml:space="preserve"> Решил признать деятельность заместителя Председателя Правительства - Министра здравоохранения Ульяновской области </w:t>
      </w:r>
      <w:proofErr w:type="spellStart"/>
      <w:r w:rsidRPr="00A34D6A">
        <w:rPr>
          <w:rFonts w:ascii="Times New Roman" w:hAnsi="Times New Roman"/>
          <w:sz w:val="26"/>
          <w:szCs w:val="26"/>
        </w:rPr>
        <w:t>Дегтяря</w:t>
      </w:r>
      <w:proofErr w:type="spellEnd"/>
      <w:r w:rsidRPr="00A34D6A">
        <w:rPr>
          <w:rFonts w:ascii="Times New Roman" w:hAnsi="Times New Roman"/>
          <w:sz w:val="26"/>
          <w:szCs w:val="26"/>
        </w:rPr>
        <w:t xml:space="preserve"> Павла Сергеевича за 2015 год удовлетворительной.</w:t>
      </w:r>
    </w:p>
    <w:p w:rsidR="00272776" w:rsidRDefault="00272776" w:rsidP="0027277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72776" w:rsidRDefault="00272776" w:rsidP="0027277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72776" w:rsidRDefault="00272776" w:rsidP="0027277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72776" w:rsidRDefault="00272776" w:rsidP="0027277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</w:p>
    <w:p w:rsidR="00272776" w:rsidRDefault="00272776" w:rsidP="0027277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Общественной палаты </w:t>
      </w:r>
    </w:p>
    <w:p w:rsidR="00272776" w:rsidRPr="00272776" w:rsidRDefault="00272776" w:rsidP="00272776">
      <w:pPr>
        <w:tabs>
          <w:tab w:val="left" w:pos="709"/>
          <w:tab w:val="left" w:pos="10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Ульяновской области                                                                            Т.В. Девяткина</w:t>
      </w:r>
      <w:bookmarkStart w:id="0" w:name="_GoBack"/>
      <w:bookmarkEnd w:id="0"/>
    </w:p>
    <w:sectPr w:rsidR="00272776" w:rsidRPr="00272776" w:rsidSect="00E148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93"/>
    <w:multiLevelType w:val="hybridMultilevel"/>
    <w:tmpl w:val="5060F3D0"/>
    <w:lvl w:ilvl="0" w:tplc="82DA5F08">
      <w:start w:val="1"/>
      <w:numFmt w:val="decimal"/>
      <w:lvlText w:val="%1)"/>
      <w:lvlJc w:val="left"/>
      <w:pPr>
        <w:ind w:left="885" w:hanging="5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B1"/>
    <w:multiLevelType w:val="hybridMultilevel"/>
    <w:tmpl w:val="A6E05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76"/>
    <w:rsid w:val="000B5470"/>
    <w:rsid w:val="00217917"/>
    <w:rsid w:val="00272776"/>
    <w:rsid w:val="007A4B5D"/>
    <w:rsid w:val="00CC7DE8"/>
    <w:rsid w:val="00DB39E5"/>
    <w:rsid w:val="00E7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2946</Words>
  <Characters>16793</Characters>
  <Application>Microsoft Office Word</Application>
  <DocSecurity>0</DocSecurity>
  <Lines>139</Lines>
  <Paragraphs>39</Paragraphs>
  <ScaleCrop>false</ScaleCrop>
  <Company>Microsoft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2016-03-29T08:42:00Z</dcterms:created>
  <dcterms:modified xsi:type="dcterms:W3CDTF">2016-03-29T09:02:00Z</dcterms:modified>
</cp:coreProperties>
</file>